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2D" w:rsidRPr="002B2169" w:rsidRDefault="00AB2CDE" w:rsidP="00C12C2D">
      <w:pPr>
        <w:spacing w:line="280" w:lineRule="exact"/>
        <w:contextualSpacing/>
        <w:jc w:val="center"/>
        <w:rPr>
          <w:rFonts w:asciiTheme="majorHAnsi" w:hAnsiTheme="majorHAnsi" w:cstheme="majorHAnsi"/>
          <w:b/>
          <w:sz w:val="28"/>
          <w:szCs w:val="28"/>
        </w:rPr>
      </w:pPr>
      <w:r w:rsidRPr="00AB2CDE">
        <w:rPr>
          <w:rFonts w:asciiTheme="majorHAnsi" w:hAnsiTheme="majorHAnsi" w:cstheme="majorHAnsi"/>
          <w:b/>
          <w:sz w:val="28"/>
          <w:szCs w:val="28"/>
        </w:rPr>
        <w:t>Confirmation on Use of Derivatives</w:t>
      </w:r>
      <w:r w:rsidR="00F21872">
        <w:rPr>
          <w:rFonts w:asciiTheme="majorHAnsi" w:hAnsiTheme="majorHAnsi" w:cstheme="majorHAnsi"/>
          <w:b/>
          <w:sz w:val="28"/>
          <w:szCs w:val="28"/>
        </w:rPr>
        <w:t xml:space="preserve"> </w:t>
      </w:r>
      <w:r w:rsidRPr="00AB2CDE">
        <w:rPr>
          <w:rFonts w:asciiTheme="majorHAnsi" w:hAnsiTheme="majorHAnsi" w:cstheme="majorHAnsi"/>
          <w:b/>
          <w:sz w:val="28"/>
          <w:szCs w:val="28"/>
        </w:rPr>
        <w:t>for Unit Trusts and Mutual Funds</w:t>
      </w:r>
    </w:p>
    <w:p w:rsidR="008B43C8" w:rsidRDefault="008B43C8" w:rsidP="00C12C2D">
      <w:pPr>
        <w:adjustRightInd w:val="0"/>
        <w:snapToGrid w:val="0"/>
        <w:spacing w:line="240" w:lineRule="auto"/>
        <w:contextualSpacing/>
        <w:jc w:val="both"/>
        <w:rPr>
          <w:rFonts w:cs="Arial"/>
          <w:kern w:val="0"/>
          <w:sz w:val="20"/>
          <w:lang w:val="en-GB"/>
        </w:rPr>
      </w:pPr>
    </w:p>
    <w:tbl>
      <w:tblPr>
        <w:tblStyle w:val="SFCDefaultTableStyle"/>
        <w:tblW w:w="0" w:type="auto"/>
        <w:tblLook w:val="04A0" w:firstRow="1" w:lastRow="0" w:firstColumn="1" w:lastColumn="0" w:noHBand="0" w:noVBand="1"/>
      </w:tblPr>
      <w:tblGrid>
        <w:gridCol w:w="9855"/>
      </w:tblGrid>
      <w:tr w:rsidR="004F188A" w:rsidTr="004F188A">
        <w:tc>
          <w:tcPr>
            <w:tcW w:w="9855" w:type="dxa"/>
          </w:tcPr>
          <w:p w:rsidR="004F188A" w:rsidRPr="004F188A" w:rsidRDefault="004F188A" w:rsidP="004A3B7D">
            <w:pPr>
              <w:adjustRightInd w:val="0"/>
              <w:snapToGrid w:val="0"/>
              <w:spacing w:line="240" w:lineRule="auto"/>
              <w:contextualSpacing/>
              <w:jc w:val="both"/>
              <w:rPr>
                <w:rFonts w:cs="Arial"/>
                <w:b/>
                <w:lang w:val="en-GB"/>
              </w:rPr>
            </w:pPr>
            <w:r w:rsidRPr="00011DDC">
              <w:rPr>
                <w:rFonts w:cs="Arial"/>
                <w:b/>
              </w:rPr>
              <w:t xml:space="preserve">Please note that </w:t>
            </w:r>
            <w:r w:rsidR="0020089C" w:rsidRPr="0020089C">
              <w:rPr>
                <w:rFonts w:cs="Arial"/>
                <w:b/>
              </w:rPr>
              <w:t>any representation in, or referred to in</w:t>
            </w:r>
            <w:r w:rsidR="0020089C">
              <w:rPr>
                <w:rFonts w:cs="Arial"/>
                <w:b/>
              </w:rPr>
              <w:t>,</w:t>
            </w:r>
            <w:r w:rsidR="0020089C" w:rsidRPr="0020089C">
              <w:rPr>
                <w:rFonts w:cs="Arial"/>
                <w:b/>
              </w:rPr>
              <w:t xml:space="preserve"> </w:t>
            </w:r>
            <w:r w:rsidR="0020089C">
              <w:rPr>
                <w:rFonts w:cs="Arial"/>
                <w:b/>
              </w:rPr>
              <w:t xml:space="preserve">any </w:t>
            </w:r>
            <w:r w:rsidR="0020089C" w:rsidRPr="0020089C">
              <w:rPr>
                <w:rFonts w:cs="Arial"/>
                <w:b/>
              </w:rPr>
              <w:t>application</w:t>
            </w:r>
            <w:r w:rsidR="0020089C">
              <w:rPr>
                <w:rFonts w:cs="Arial"/>
                <w:b/>
              </w:rPr>
              <w:t>,</w:t>
            </w:r>
            <w:r w:rsidR="0020089C" w:rsidRPr="0020089C">
              <w:rPr>
                <w:rFonts w:cs="Arial"/>
                <w:b/>
              </w:rPr>
              <w:t xml:space="preserve"> and any representation made</w:t>
            </w:r>
            <w:r w:rsidR="0020089C" w:rsidRPr="0020089C">
              <w:rPr>
                <w:rFonts w:cs="Arial" w:hint="eastAsia"/>
                <w:b/>
              </w:rPr>
              <w:t xml:space="preserve"> from time to time</w:t>
            </w:r>
            <w:r w:rsidR="0020089C" w:rsidRPr="0020089C">
              <w:rPr>
                <w:rFonts w:cs="Arial"/>
                <w:b/>
              </w:rPr>
              <w:t xml:space="preserve"> in support of </w:t>
            </w:r>
            <w:r w:rsidR="0020089C">
              <w:rPr>
                <w:rFonts w:cs="Arial"/>
                <w:b/>
              </w:rPr>
              <w:t xml:space="preserve">any </w:t>
            </w:r>
            <w:r w:rsidR="0020089C" w:rsidRPr="0020089C">
              <w:rPr>
                <w:rFonts w:cs="Arial"/>
                <w:b/>
              </w:rPr>
              <w:t>application which is false or misleading in a material particular,</w:t>
            </w:r>
            <w:r w:rsidR="0020089C">
              <w:rPr>
                <w:rFonts w:cs="Arial"/>
                <w:b/>
              </w:rPr>
              <w:t xml:space="preserve"> </w:t>
            </w:r>
            <w:r w:rsidRPr="00011DDC">
              <w:rPr>
                <w:rFonts w:cs="Arial"/>
                <w:b/>
              </w:rPr>
              <w:t xml:space="preserve">the provision of any information to the </w:t>
            </w:r>
            <w:r>
              <w:rPr>
                <w:rFonts w:cs="Arial"/>
                <w:b/>
              </w:rPr>
              <w:t>SFC</w:t>
            </w:r>
            <w:r w:rsidRPr="00011DDC">
              <w:rPr>
                <w:rFonts w:cs="Arial"/>
                <w:b/>
              </w:rPr>
              <w:t xml:space="preserve"> which is false or misleading in a material particular and the provision of any record or document which is false or misleading in a material particular may constitute an offence under section </w:t>
            </w:r>
            <w:r w:rsidR="00F21872">
              <w:rPr>
                <w:rFonts w:cs="Arial"/>
                <w:b/>
              </w:rPr>
              <w:t xml:space="preserve">383(1), </w:t>
            </w:r>
            <w:r w:rsidRPr="00011DDC">
              <w:rPr>
                <w:rFonts w:asciiTheme="minorHAnsi" w:hAnsiTheme="minorHAnsi" w:cstheme="minorHAnsi"/>
                <w:b/>
                <w:szCs w:val="22"/>
              </w:rPr>
              <w:t>384(1) and/or 384(3)</w:t>
            </w:r>
            <w:r w:rsidRPr="00011DDC">
              <w:rPr>
                <w:rFonts w:cs="Arial"/>
                <w:b/>
              </w:rPr>
              <w:t xml:space="preserve"> of the Securities and Futures Ordinance </w:t>
            </w:r>
            <w:r w:rsidRPr="00011DDC">
              <w:rPr>
                <w:rFonts w:asciiTheme="minorHAnsi" w:hAnsiTheme="minorHAnsi" w:cstheme="minorHAnsi"/>
                <w:b/>
                <w:szCs w:val="22"/>
              </w:rPr>
              <w:t>(Chapter 571 of the Laws of Hong Kong).</w:t>
            </w:r>
          </w:p>
        </w:tc>
      </w:tr>
    </w:tbl>
    <w:p w:rsidR="00011DDC" w:rsidRPr="00011DDC" w:rsidRDefault="00011DDC" w:rsidP="00C12C2D">
      <w:pPr>
        <w:adjustRightInd w:val="0"/>
        <w:snapToGrid w:val="0"/>
        <w:spacing w:line="240" w:lineRule="auto"/>
        <w:contextualSpacing/>
        <w:jc w:val="both"/>
        <w:rPr>
          <w:rFonts w:asciiTheme="minorHAnsi" w:hAnsiTheme="minorHAnsi" w:cstheme="minorHAnsi"/>
          <w:b/>
          <w:szCs w:val="22"/>
        </w:rPr>
      </w:pPr>
    </w:p>
    <w:p w:rsidR="00763EAB" w:rsidRPr="00843A21" w:rsidRDefault="00763EAB" w:rsidP="00763EAB">
      <w:pPr>
        <w:adjustRightInd w:val="0"/>
        <w:snapToGrid w:val="0"/>
        <w:spacing w:line="240" w:lineRule="auto"/>
        <w:contextualSpacing/>
        <w:jc w:val="both"/>
        <w:rPr>
          <w:rFonts w:cs="Arial"/>
          <w:kern w:val="0"/>
          <w:sz w:val="20"/>
          <w:lang w:val="en-GB"/>
        </w:rPr>
      </w:pPr>
      <w:r w:rsidRPr="00843A21">
        <w:rPr>
          <w:rFonts w:cs="Arial"/>
          <w:kern w:val="0"/>
          <w:sz w:val="20"/>
          <w:lang w:val="en-GB"/>
        </w:rPr>
        <w:t>Dated: _____________</w:t>
      </w:r>
    </w:p>
    <w:p w:rsidR="00763EAB" w:rsidRPr="00843A21" w:rsidRDefault="00763EAB" w:rsidP="00C12C2D">
      <w:pPr>
        <w:adjustRightInd w:val="0"/>
        <w:snapToGrid w:val="0"/>
        <w:spacing w:line="240" w:lineRule="auto"/>
        <w:contextualSpacing/>
        <w:jc w:val="both"/>
        <w:rPr>
          <w:rFonts w:cs="Arial"/>
          <w:kern w:val="0"/>
          <w:sz w:val="20"/>
          <w:lang w:val="en-GB"/>
        </w:rPr>
      </w:pPr>
    </w:p>
    <w:p w:rsidR="00C12C2D" w:rsidRPr="00843A21" w:rsidRDefault="00C12C2D" w:rsidP="00C12C2D">
      <w:pPr>
        <w:adjustRightInd w:val="0"/>
        <w:snapToGrid w:val="0"/>
        <w:spacing w:line="240" w:lineRule="auto"/>
        <w:contextualSpacing/>
        <w:jc w:val="both"/>
        <w:rPr>
          <w:rFonts w:cs="Arial"/>
          <w:kern w:val="0"/>
          <w:sz w:val="20"/>
          <w:lang w:val="en-GB"/>
        </w:rPr>
      </w:pPr>
      <w:r w:rsidRPr="00843A21">
        <w:rPr>
          <w:rFonts w:cs="Arial"/>
          <w:kern w:val="0"/>
          <w:sz w:val="20"/>
          <w:lang w:val="en-GB"/>
        </w:rPr>
        <w:t>To: Securities and Futures Commission (the “</w:t>
      </w:r>
      <w:r w:rsidR="003C3D6F">
        <w:rPr>
          <w:rFonts w:cs="Arial"/>
          <w:kern w:val="0"/>
          <w:sz w:val="20"/>
          <w:lang w:val="en-GB"/>
        </w:rPr>
        <w:t>SFC</w:t>
      </w:r>
      <w:r w:rsidRPr="00843A21">
        <w:rPr>
          <w:rFonts w:cs="Arial"/>
          <w:kern w:val="0"/>
          <w:sz w:val="20"/>
          <w:lang w:val="en-GB"/>
        </w:rPr>
        <w:t>”)</w:t>
      </w:r>
    </w:p>
    <w:p w:rsidR="00C12C2D" w:rsidRPr="00843A21" w:rsidRDefault="00C12C2D" w:rsidP="00C12C2D">
      <w:pPr>
        <w:pStyle w:val="Normal1"/>
        <w:rPr>
          <w:rFonts w:cs="Arial"/>
          <w:kern w:val="0"/>
          <w:sz w:val="20"/>
        </w:rPr>
      </w:pPr>
      <w:r w:rsidRPr="00843A21">
        <w:rPr>
          <w:rFonts w:cs="Arial"/>
          <w:kern w:val="0"/>
          <w:sz w:val="20"/>
        </w:rPr>
        <w:t>Name of the scheme</w:t>
      </w:r>
      <w:r w:rsidR="004F188A">
        <w:rPr>
          <w:rFonts w:cs="Arial"/>
          <w:kern w:val="0"/>
          <w:sz w:val="20"/>
        </w:rPr>
        <w:t>(s)</w:t>
      </w:r>
      <w:r w:rsidRPr="00843A21">
        <w:rPr>
          <w:rFonts w:cs="Arial"/>
          <w:kern w:val="0"/>
          <w:sz w:val="20"/>
        </w:rPr>
        <w:t>: _____________________________ (the “Scheme</w:t>
      </w:r>
      <w:r w:rsidR="004F188A">
        <w:rPr>
          <w:rFonts w:cs="Arial"/>
          <w:kern w:val="0"/>
          <w:sz w:val="20"/>
        </w:rPr>
        <w:t>(s)</w:t>
      </w:r>
      <w:r w:rsidRPr="00843A21">
        <w:rPr>
          <w:rFonts w:cs="Arial"/>
          <w:kern w:val="0"/>
          <w:sz w:val="20"/>
        </w:rPr>
        <w:t>”)</w:t>
      </w:r>
    </w:p>
    <w:p w:rsidR="00C94C84" w:rsidRPr="00843A21" w:rsidRDefault="00307F85" w:rsidP="00585B45">
      <w:pPr>
        <w:adjustRightInd w:val="0"/>
        <w:snapToGrid w:val="0"/>
        <w:spacing w:line="240" w:lineRule="auto"/>
        <w:contextualSpacing/>
        <w:jc w:val="both"/>
        <w:rPr>
          <w:rFonts w:cs="Arial"/>
          <w:kern w:val="0"/>
          <w:sz w:val="20"/>
          <w:lang w:val="en-GB"/>
        </w:rPr>
      </w:pPr>
      <w:r w:rsidRPr="00843A21">
        <w:rPr>
          <w:rFonts w:cs="Arial"/>
          <w:kern w:val="0"/>
          <w:sz w:val="20"/>
          <w:lang w:val="en-GB"/>
        </w:rPr>
        <w:t>We</w:t>
      </w:r>
      <w:r w:rsidR="00C94C84" w:rsidRPr="00843A21">
        <w:rPr>
          <w:rFonts w:cs="Arial"/>
          <w:kern w:val="0"/>
          <w:sz w:val="20"/>
          <w:lang w:val="en-GB"/>
        </w:rPr>
        <w:t>, in respect of the Scheme</w:t>
      </w:r>
      <w:r w:rsidR="004F188A">
        <w:rPr>
          <w:rFonts w:cs="Arial"/>
          <w:kern w:val="0"/>
          <w:sz w:val="20"/>
          <w:lang w:val="en-GB"/>
        </w:rPr>
        <w:t>(s)</w:t>
      </w:r>
      <w:r w:rsidR="00C94C84" w:rsidRPr="00843A21">
        <w:rPr>
          <w:rFonts w:cs="Arial"/>
          <w:kern w:val="0"/>
          <w:sz w:val="20"/>
          <w:lang w:val="en-GB"/>
        </w:rPr>
        <w:t>,</w:t>
      </w:r>
      <w:r w:rsidRPr="00843A21">
        <w:rPr>
          <w:rFonts w:cs="Arial"/>
          <w:kern w:val="0"/>
          <w:sz w:val="20"/>
          <w:lang w:val="en-GB"/>
        </w:rPr>
        <w:t xml:space="preserve"> hereby </w:t>
      </w:r>
      <w:r w:rsidRPr="001F7A49">
        <w:rPr>
          <w:rFonts w:cs="Arial"/>
          <w:kern w:val="0"/>
          <w:sz w:val="20"/>
          <w:lang w:val="en-GB"/>
        </w:rPr>
        <w:t>confirm</w:t>
      </w:r>
      <w:r w:rsidR="00011DDC" w:rsidRPr="001F7A49">
        <w:rPr>
          <w:rFonts w:cs="Arial"/>
          <w:kern w:val="0"/>
          <w:sz w:val="20"/>
          <w:lang w:val="en-GB"/>
        </w:rPr>
        <w:t>, represent</w:t>
      </w:r>
      <w:r w:rsidRPr="005E6272">
        <w:rPr>
          <w:rFonts w:cs="Arial"/>
          <w:kern w:val="0"/>
          <w:sz w:val="20"/>
          <w:lang w:val="en-GB"/>
        </w:rPr>
        <w:t xml:space="preserve"> </w:t>
      </w:r>
      <w:r w:rsidRPr="00843A21">
        <w:rPr>
          <w:rFonts w:cs="Arial"/>
          <w:kern w:val="0"/>
          <w:sz w:val="20"/>
          <w:lang w:val="en-GB"/>
        </w:rPr>
        <w:t>and undertake that</w:t>
      </w:r>
      <w:r w:rsidR="00C94C84" w:rsidRPr="00843A21">
        <w:rPr>
          <w:rFonts w:cs="Arial"/>
          <w:kern w:val="0"/>
          <w:sz w:val="20"/>
          <w:lang w:val="en-GB"/>
        </w:rPr>
        <w:t>:</w:t>
      </w:r>
    </w:p>
    <w:p w:rsidR="00585B45" w:rsidRPr="00843A21" w:rsidRDefault="00585B45" w:rsidP="00585B45">
      <w:pPr>
        <w:adjustRightInd w:val="0"/>
        <w:snapToGrid w:val="0"/>
        <w:spacing w:line="240" w:lineRule="auto"/>
        <w:contextualSpacing/>
        <w:jc w:val="both"/>
        <w:rPr>
          <w:rFonts w:cs="Arial"/>
          <w:kern w:val="0"/>
          <w:sz w:val="20"/>
          <w:lang w:val="en-GB"/>
        </w:rPr>
      </w:pPr>
    </w:p>
    <w:p w:rsidR="006C4956" w:rsidRPr="0067193A" w:rsidRDefault="006C4956" w:rsidP="006C4956">
      <w:pPr>
        <w:pStyle w:val="Normal1"/>
        <w:numPr>
          <w:ilvl w:val="0"/>
          <w:numId w:val="4"/>
        </w:numPr>
        <w:spacing w:after="0"/>
        <w:ind w:left="426" w:hanging="426"/>
        <w:rPr>
          <w:i/>
          <w:sz w:val="20"/>
        </w:rPr>
      </w:pPr>
      <w:r w:rsidRPr="0067193A">
        <w:rPr>
          <w:rFonts w:ascii="新細明體" w:hAnsi="新細明體" w:cs="Arial"/>
          <w:sz w:val="20"/>
        </w:rPr>
        <w:t>□</w:t>
      </w:r>
      <w:r w:rsidRPr="0067193A">
        <w:rPr>
          <w:i/>
          <w:sz w:val="20"/>
        </w:rPr>
        <w:t xml:space="preserve"> </w:t>
      </w:r>
      <w:r w:rsidRPr="003C3D6F">
        <w:rPr>
          <w:i/>
          <w:color w:val="0070C0"/>
          <w:sz w:val="20"/>
        </w:rPr>
        <w:t>(please tick if the Scheme</w:t>
      </w:r>
      <w:r w:rsidR="00763EAB">
        <w:rPr>
          <w:i/>
          <w:color w:val="0070C0"/>
          <w:sz w:val="20"/>
        </w:rPr>
        <w:t>(s)</w:t>
      </w:r>
      <w:r w:rsidRPr="003C3D6F">
        <w:rPr>
          <w:i/>
          <w:color w:val="0070C0"/>
          <w:sz w:val="20"/>
        </w:rPr>
        <w:t xml:space="preserve"> will not use financial derivative instruments</w:t>
      </w:r>
      <w:r w:rsidR="00CB4201" w:rsidRPr="003C3D6F">
        <w:rPr>
          <w:i/>
          <w:color w:val="0070C0"/>
          <w:sz w:val="20"/>
        </w:rPr>
        <w:t xml:space="preserve"> (“derivatives”)</w:t>
      </w:r>
      <w:r w:rsidRPr="003C3D6F">
        <w:rPr>
          <w:i/>
          <w:color w:val="0070C0"/>
          <w:sz w:val="20"/>
        </w:rPr>
        <w:t xml:space="preserve"> for any purposes)</w:t>
      </w:r>
      <w:r w:rsidRPr="0067193A">
        <w:rPr>
          <w:i/>
          <w:sz w:val="20"/>
        </w:rPr>
        <w:t xml:space="preserve"> </w:t>
      </w:r>
      <w:r w:rsidRPr="0067193A">
        <w:rPr>
          <w:sz w:val="20"/>
        </w:rPr>
        <w:t>the Scheme</w:t>
      </w:r>
      <w:r w:rsidR="001275FA">
        <w:rPr>
          <w:sz w:val="20"/>
        </w:rPr>
        <w:t>(s)</w:t>
      </w:r>
      <w:r w:rsidRPr="0067193A">
        <w:rPr>
          <w:sz w:val="20"/>
        </w:rPr>
        <w:t xml:space="preserve"> will not use derivative</w:t>
      </w:r>
      <w:r w:rsidR="00CB4201">
        <w:rPr>
          <w:sz w:val="20"/>
        </w:rPr>
        <w:t>s</w:t>
      </w:r>
      <w:r w:rsidRPr="0067193A">
        <w:rPr>
          <w:sz w:val="20"/>
        </w:rPr>
        <w:t xml:space="preserve"> for any purposes;</w:t>
      </w:r>
    </w:p>
    <w:p w:rsidR="007801AB" w:rsidRDefault="007801AB" w:rsidP="00646BF0">
      <w:pPr>
        <w:pStyle w:val="Normal1"/>
        <w:spacing w:after="0"/>
        <w:ind w:firstLine="426"/>
        <w:rPr>
          <w:rFonts w:ascii="新細明體" w:hAnsi="新細明體" w:cs="Arial"/>
          <w:sz w:val="20"/>
        </w:rPr>
      </w:pPr>
    </w:p>
    <w:tbl>
      <w:tblPr>
        <w:tblStyle w:val="SFCDefaultTableSty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8545"/>
      </w:tblGrid>
      <w:tr w:rsidR="001F7A49" w:rsidTr="0067193A">
        <w:tc>
          <w:tcPr>
            <w:tcW w:w="9538" w:type="dxa"/>
            <w:gridSpan w:val="3"/>
          </w:tcPr>
          <w:p w:rsidR="001F7A49" w:rsidRPr="00843A21" w:rsidRDefault="001F7A49" w:rsidP="001F7A49">
            <w:pPr>
              <w:pStyle w:val="Normal1"/>
              <w:numPr>
                <w:ilvl w:val="0"/>
                <w:numId w:val="4"/>
              </w:numPr>
              <w:spacing w:after="0"/>
              <w:ind w:left="426" w:hanging="426"/>
              <w:rPr>
                <w:sz w:val="20"/>
              </w:rPr>
            </w:pPr>
            <w:r w:rsidRPr="00843A21">
              <w:rPr>
                <w:rFonts w:ascii="新細明體" w:hAnsi="新細明體" w:cs="Arial"/>
                <w:sz w:val="20"/>
              </w:rPr>
              <w:t>□</w:t>
            </w:r>
            <w:r w:rsidRPr="006C4956">
              <w:rPr>
                <w:i/>
                <w:sz w:val="20"/>
              </w:rPr>
              <w:t xml:space="preserve"> </w:t>
            </w:r>
            <w:r w:rsidRPr="003C3D6F">
              <w:rPr>
                <w:i/>
                <w:color w:val="0070C0"/>
                <w:sz w:val="20"/>
              </w:rPr>
              <w:t>(please tick if the Scheme</w:t>
            </w:r>
            <w:r w:rsidR="00763EAB">
              <w:rPr>
                <w:i/>
                <w:color w:val="0070C0"/>
                <w:sz w:val="20"/>
              </w:rPr>
              <w:t>(s)</w:t>
            </w:r>
            <w:r w:rsidRPr="003C3D6F">
              <w:rPr>
                <w:i/>
                <w:color w:val="0070C0"/>
                <w:sz w:val="20"/>
              </w:rPr>
              <w:t xml:space="preserve"> </w:t>
            </w:r>
            <w:r w:rsidR="004F188A">
              <w:rPr>
                <w:i/>
                <w:color w:val="0070C0"/>
                <w:sz w:val="20"/>
              </w:rPr>
              <w:t>may use</w:t>
            </w:r>
            <w:r w:rsidRPr="003C3D6F">
              <w:rPr>
                <w:i/>
                <w:color w:val="0070C0"/>
                <w:sz w:val="20"/>
              </w:rPr>
              <w:t xml:space="preserve"> derivative</w:t>
            </w:r>
            <w:r w:rsidR="00CB4201" w:rsidRPr="003C3D6F">
              <w:rPr>
                <w:i/>
                <w:color w:val="0070C0"/>
                <w:sz w:val="20"/>
              </w:rPr>
              <w:t>s</w:t>
            </w:r>
            <w:r w:rsidR="004F188A">
              <w:rPr>
                <w:i/>
                <w:color w:val="0070C0"/>
                <w:sz w:val="20"/>
              </w:rPr>
              <w:t xml:space="preserve"> for </w:t>
            </w:r>
            <w:r w:rsidR="005D068A" w:rsidRPr="00C27A07">
              <w:rPr>
                <w:i/>
                <w:color w:val="0070C0"/>
                <w:sz w:val="20"/>
              </w:rPr>
              <w:t>hedging and/or</w:t>
            </w:r>
            <w:r w:rsidR="005D068A">
              <w:rPr>
                <w:i/>
                <w:color w:val="0070C0"/>
                <w:sz w:val="20"/>
              </w:rPr>
              <w:t xml:space="preserve"> </w:t>
            </w:r>
            <w:r w:rsidR="004F188A">
              <w:rPr>
                <w:i/>
                <w:color w:val="0070C0"/>
                <w:sz w:val="20"/>
              </w:rPr>
              <w:t>investment purposes (i.e. non-hedging purposes)</w:t>
            </w:r>
            <w:r w:rsidR="00206CCD">
              <w:rPr>
                <w:i/>
                <w:color w:val="0070C0"/>
                <w:sz w:val="20"/>
              </w:rPr>
              <w:t>,</w:t>
            </w:r>
            <w:r w:rsidR="00206CCD" w:rsidRPr="00206CCD">
              <w:rPr>
                <w:i/>
                <w:color w:val="0070C0"/>
                <w:sz w:val="20"/>
              </w:rPr>
              <w:t xml:space="preserve"> except</w:t>
            </w:r>
            <w:r w:rsidR="00F21872">
              <w:rPr>
                <w:i/>
                <w:color w:val="0070C0"/>
                <w:sz w:val="20"/>
              </w:rPr>
              <w:t xml:space="preserve"> for</w:t>
            </w:r>
            <w:r w:rsidR="00206CCD" w:rsidRPr="00206CCD">
              <w:rPr>
                <w:i/>
                <w:color w:val="0070C0"/>
                <w:sz w:val="20"/>
              </w:rPr>
              <w:t xml:space="preserve"> schemes falling under 8.8 of the </w:t>
            </w:r>
            <w:r w:rsidR="00F21872">
              <w:rPr>
                <w:i/>
                <w:color w:val="0070C0"/>
                <w:sz w:val="20"/>
              </w:rPr>
              <w:t>Code on Unit Trusts and Mutual Funds (“</w:t>
            </w:r>
            <w:r w:rsidR="00206CCD" w:rsidRPr="00206CCD">
              <w:rPr>
                <w:i/>
                <w:color w:val="0070C0"/>
                <w:sz w:val="20"/>
              </w:rPr>
              <w:t>UT Code</w:t>
            </w:r>
            <w:r w:rsidR="00F21872">
              <w:rPr>
                <w:i/>
                <w:color w:val="0070C0"/>
                <w:sz w:val="20"/>
              </w:rPr>
              <w:t>”)</w:t>
            </w:r>
            <w:r w:rsidRPr="003C3D6F">
              <w:rPr>
                <w:i/>
                <w:color w:val="0070C0"/>
                <w:sz w:val="20"/>
              </w:rPr>
              <w:t>)</w:t>
            </w:r>
            <w:r>
              <w:rPr>
                <w:i/>
                <w:sz w:val="20"/>
              </w:rPr>
              <w:t xml:space="preserve"> </w:t>
            </w:r>
          </w:p>
          <w:p w:rsidR="001F7A49" w:rsidRDefault="001F7A49" w:rsidP="002724F4">
            <w:pPr>
              <w:pStyle w:val="Normal1"/>
              <w:spacing w:after="0"/>
              <w:rPr>
                <w:sz w:val="20"/>
              </w:rPr>
            </w:pPr>
          </w:p>
        </w:tc>
      </w:tr>
      <w:tr w:rsidR="001F7A49" w:rsidTr="0067193A">
        <w:tc>
          <w:tcPr>
            <w:tcW w:w="426" w:type="dxa"/>
          </w:tcPr>
          <w:p w:rsidR="001F7A49" w:rsidRPr="002724F4" w:rsidRDefault="001F7A49" w:rsidP="001F7A49">
            <w:pPr>
              <w:pStyle w:val="Normal1"/>
              <w:spacing w:after="0"/>
              <w:ind w:left="426"/>
              <w:rPr>
                <w:sz w:val="20"/>
              </w:rPr>
            </w:pPr>
          </w:p>
        </w:tc>
        <w:tc>
          <w:tcPr>
            <w:tcW w:w="567" w:type="dxa"/>
          </w:tcPr>
          <w:p w:rsidR="001F7A49" w:rsidRDefault="0067193A" w:rsidP="00011DDC">
            <w:pPr>
              <w:pStyle w:val="Normal1"/>
              <w:spacing w:after="0"/>
              <w:rPr>
                <w:sz w:val="20"/>
              </w:rPr>
            </w:pPr>
            <w:r>
              <w:rPr>
                <w:sz w:val="20"/>
              </w:rPr>
              <w:t>(i)</w:t>
            </w:r>
          </w:p>
        </w:tc>
        <w:tc>
          <w:tcPr>
            <w:tcW w:w="8545" w:type="dxa"/>
          </w:tcPr>
          <w:p w:rsidR="001F7A49" w:rsidRDefault="001F7A49" w:rsidP="002724F4">
            <w:pPr>
              <w:pStyle w:val="Normal1"/>
              <w:spacing w:after="0"/>
              <w:rPr>
                <w:sz w:val="20"/>
              </w:rPr>
            </w:pPr>
            <w:r w:rsidRPr="00843A21">
              <w:rPr>
                <w:sz w:val="20"/>
              </w:rPr>
              <w:t>the net derivative exposure</w:t>
            </w:r>
            <w:bookmarkStart w:id="0" w:name="_Ref530487065"/>
            <w:r w:rsidR="004F188A">
              <w:rPr>
                <w:rStyle w:val="FootnoteReference"/>
                <w:sz w:val="20"/>
              </w:rPr>
              <w:footnoteReference w:id="1"/>
            </w:r>
            <w:bookmarkEnd w:id="0"/>
            <w:r w:rsidRPr="00843A21">
              <w:rPr>
                <w:sz w:val="20"/>
              </w:rPr>
              <w:t xml:space="preserve"> </w:t>
            </w:r>
            <w:r w:rsidR="004F188A">
              <w:rPr>
                <w:sz w:val="20"/>
              </w:rPr>
              <w:t xml:space="preserve">of the Scheme(s) </w:t>
            </w:r>
            <w:r w:rsidRPr="00843A21">
              <w:rPr>
                <w:sz w:val="20"/>
              </w:rPr>
              <w:t xml:space="preserve">calculated </w:t>
            </w:r>
            <w:r>
              <w:rPr>
                <w:sz w:val="20"/>
              </w:rPr>
              <w:t xml:space="preserve">in accordance with </w:t>
            </w:r>
            <w:r w:rsidRPr="00843A21">
              <w:rPr>
                <w:sz w:val="20"/>
              </w:rPr>
              <w:t xml:space="preserve">the </w:t>
            </w:r>
            <w:r w:rsidRPr="00011DDC">
              <w:rPr>
                <w:sz w:val="20"/>
              </w:rPr>
              <w:t>Guide on the Use of Financial Derivative Instruments for Unit Trusts and Mutual Funds (“Derivative Guide”)</w:t>
            </w:r>
            <w:r>
              <w:rPr>
                <w:sz w:val="20"/>
              </w:rPr>
              <w:t xml:space="preserve"> </w:t>
            </w:r>
            <w:r w:rsidR="00DA2DF2">
              <w:rPr>
                <w:sz w:val="20"/>
              </w:rPr>
              <w:t>published by the Investment Products Division</w:t>
            </w:r>
            <w:r w:rsidR="00DA2DF2" w:rsidRPr="00011DDC">
              <w:rPr>
                <w:sz w:val="20"/>
              </w:rPr>
              <w:t xml:space="preserve"> </w:t>
            </w:r>
            <w:r w:rsidRPr="00E9092C">
              <w:rPr>
                <w:i/>
                <w:color w:val="0070C0"/>
                <w:sz w:val="20"/>
              </w:rPr>
              <w:t>(please tick one of the following boxes)</w:t>
            </w:r>
            <w:r w:rsidR="00F21872">
              <w:rPr>
                <w:i/>
                <w:sz w:val="20"/>
              </w:rPr>
              <w:t xml:space="preserve"> </w:t>
            </w:r>
            <w:r w:rsidR="00F21872" w:rsidRPr="00F21872">
              <w:rPr>
                <w:sz w:val="20"/>
              </w:rPr>
              <w:t>is</w:t>
            </w:r>
            <w:r w:rsidR="0020089C">
              <w:rPr>
                <w:sz w:val="20"/>
              </w:rPr>
              <w:t xml:space="preserve"> and will be</w:t>
            </w:r>
            <w:r w:rsidRPr="00843A21">
              <w:rPr>
                <w:sz w:val="20"/>
              </w:rPr>
              <w:t>:</w:t>
            </w:r>
          </w:p>
          <w:p w:rsidR="001F7A49" w:rsidRDefault="001F7A49" w:rsidP="002724F4">
            <w:pPr>
              <w:pStyle w:val="Normal1"/>
              <w:spacing w:after="0"/>
              <w:rPr>
                <w:sz w:val="20"/>
              </w:rPr>
            </w:pPr>
          </w:p>
          <w:p w:rsidR="001F7A49" w:rsidRPr="00843A21" w:rsidRDefault="001F7A49" w:rsidP="0067193A">
            <w:pPr>
              <w:pStyle w:val="Normal1"/>
              <w:spacing w:after="0"/>
              <w:rPr>
                <w:rFonts w:cs="Arial"/>
                <w:sz w:val="20"/>
              </w:rPr>
            </w:pPr>
            <w:r w:rsidRPr="00843A21">
              <w:rPr>
                <w:rFonts w:ascii="新細明體" w:hAnsi="新細明體" w:cs="Arial"/>
                <w:sz w:val="20"/>
              </w:rPr>
              <w:t>□</w:t>
            </w:r>
            <w:r w:rsidRPr="00843A21">
              <w:rPr>
                <w:rFonts w:ascii="新細明體" w:hAnsi="新細明體" w:cs="Arial"/>
                <w:sz w:val="20"/>
              </w:rPr>
              <w:tab/>
            </w:r>
            <w:r w:rsidR="00E9092C">
              <w:rPr>
                <w:rFonts w:cs="Arial"/>
                <w:sz w:val="20"/>
              </w:rPr>
              <w:t xml:space="preserve">not more than </w:t>
            </w:r>
            <w:r w:rsidRPr="00843A21">
              <w:rPr>
                <w:rFonts w:cs="Arial"/>
                <w:sz w:val="20"/>
              </w:rPr>
              <w:t>50% of its</w:t>
            </w:r>
            <w:r w:rsidR="006C18BE">
              <w:rPr>
                <w:rFonts w:cs="Arial"/>
                <w:sz w:val="20"/>
              </w:rPr>
              <w:t>/their</w:t>
            </w:r>
            <w:r w:rsidRPr="00843A21">
              <w:rPr>
                <w:rFonts w:cs="Arial"/>
                <w:sz w:val="20"/>
              </w:rPr>
              <w:t xml:space="preserve"> </w:t>
            </w:r>
            <w:r w:rsidR="0020089C">
              <w:rPr>
                <w:rFonts w:cs="Arial"/>
                <w:sz w:val="20"/>
              </w:rPr>
              <w:t xml:space="preserve">respective </w:t>
            </w:r>
            <w:r w:rsidRPr="00843A21">
              <w:rPr>
                <w:rFonts w:cs="Arial"/>
                <w:sz w:val="20"/>
              </w:rPr>
              <w:t>net asset value</w:t>
            </w:r>
            <w:r w:rsidR="0020089C">
              <w:rPr>
                <w:rFonts w:cs="Arial"/>
                <w:sz w:val="20"/>
              </w:rPr>
              <w:t>(s)</w:t>
            </w:r>
            <w:r w:rsidRPr="00843A21">
              <w:rPr>
                <w:rFonts w:cs="Arial"/>
                <w:sz w:val="20"/>
              </w:rPr>
              <w:t xml:space="preserve"> (“NAV”)</w:t>
            </w:r>
          </w:p>
          <w:p w:rsidR="001F7A49" w:rsidRPr="00843A21" w:rsidRDefault="001F7A49" w:rsidP="0067193A">
            <w:pPr>
              <w:pStyle w:val="Normal1"/>
              <w:spacing w:after="0"/>
              <w:rPr>
                <w:rFonts w:cs="Arial"/>
                <w:sz w:val="20"/>
              </w:rPr>
            </w:pPr>
            <w:r w:rsidRPr="00843A21">
              <w:rPr>
                <w:rFonts w:ascii="新細明體" w:hAnsi="新細明體" w:cs="Arial"/>
                <w:sz w:val="20"/>
              </w:rPr>
              <w:t>□</w:t>
            </w:r>
            <w:r w:rsidRPr="00843A21">
              <w:rPr>
                <w:rFonts w:ascii="新細明體" w:hAnsi="新細明體" w:cs="Arial"/>
                <w:sz w:val="20"/>
              </w:rPr>
              <w:tab/>
            </w:r>
            <w:r w:rsidRPr="00843A21">
              <w:rPr>
                <w:rFonts w:cs="Arial"/>
                <w:sz w:val="20"/>
              </w:rPr>
              <w:t>more than 50% and up to 100% of its</w:t>
            </w:r>
            <w:r w:rsidR="006C18BE">
              <w:rPr>
                <w:rFonts w:cs="Arial"/>
                <w:sz w:val="20"/>
              </w:rPr>
              <w:t>/their</w:t>
            </w:r>
            <w:r w:rsidRPr="00843A21">
              <w:rPr>
                <w:rFonts w:cs="Arial"/>
                <w:sz w:val="20"/>
              </w:rPr>
              <w:t xml:space="preserve"> </w:t>
            </w:r>
            <w:r w:rsidR="00BB254E">
              <w:rPr>
                <w:rFonts w:cs="Arial"/>
                <w:sz w:val="20"/>
              </w:rPr>
              <w:t>respective</w:t>
            </w:r>
            <w:r w:rsidR="00BB254E" w:rsidRPr="00843A21">
              <w:rPr>
                <w:rFonts w:cs="Arial"/>
                <w:sz w:val="20"/>
              </w:rPr>
              <w:t xml:space="preserve"> </w:t>
            </w:r>
            <w:r w:rsidRPr="00843A21">
              <w:rPr>
                <w:rFonts w:cs="Arial"/>
                <w:sz w:val="20"/>
              </w:rPr>
              <w:t>NAV</w:t>
            </w:r>
          </w:p>
          <w:p w:rsidR="001F7A49" w:rsidRPr="00843A21" w:rsidRDefault="001F7A49" w:rsidP="0067193A">
            <w:pPr>
              <w:pStyle w:val="Normal1"/>
              <w:spacing w:after="0"/>
              <w:rPr>
                <w:sz w:val="20"/>
              </w:rPr>
            </w:pPr>
            <w:r w:rsidRPr="00843A21">
              <w:rPr>
                <w:rFonts w:ascii="新細明體" w:hAnsi="新細明體" w:cs="Arial"/>
                <w:sz w:val="20"/>
              </w:rPr>
              <w:t>□</w:t>
            </w:r>
            <w:r w:rsidRPr="00843A21">
              <w:rPr>
                <w:rFonts w:ascii="新細明體" w:hAnsi="新細明體" w:cs="Arial"/>
                <w:sz w:val="20"/>
              </w:rPr>
              <w:tab/>
            </w:r>
            <w:r>
              <w:rPr>
                <w:rFonts w:cs="Arial"/>
                <w:sz w:val="20"/>
              </w:rPr>
              <w:t>more than 100% of its</w:t>
            </w:r>
            <w:r w:rsidR="006C18BE">
              <w:rPr>
                <w:rFonts w:cs="Arial"/>
                <w:sz w:val="20"/>
              </w:rPr>
              <w:t>/their</w:t>
            </w:r>
            <w:r>
              <w:rPr>
                <w:rFonts w:cs="Arial"/>
                <w:sz w:val="20"/>
              </w:rPr>
              <w:t xml:space="preserve"> </w:t>
            </w:r>
            <w:r w:rsidR="00BB254E">
              <w:rPr>
                <w:rFonts w:cs="Arial"/>
                <w:sz w:val="20"/>
              </w:rPr>
              <w:t xml:space="preserve">respective </w:t>
            </w:r>
            <w:r>
              <w:rPr>
                <w:rFonts w:cs="Arial"/>
                <w:sz w:val="20"/>
              </w:rPr>
              <w:t>NAV</w:t>
            </w:r>
          </w:p>
          <w:p w:rsidR="001F7A49" w:rsidRDefault="001F7A49" w:rsidP="002724F4">
            <w:pPr>
              <w:pStyle w:val="Normal1"/>
              <w:spacing w:after="0"/>
              <w:rPr>
                <w:sz w:val="20"/>
              </w:rPr>
            </w:pPr>
          </w:p>
        </w:tc>
      </w:tr>
      <w:tr w:rsidR="002724F4" w:rsidTr="0067193A">
        <w:tc>
          <w:tcPr>
            <w:tcW w:w="426" w:type="dxa"/>
          </w:tcPr>
          <w:p w:rsidR="002724F4" w:rsidRPr="002724F4" w:rsidRDefault="002724F4" w:rsidP="001F7A49">
            <w:pPr>
              <w:pStyle w:val="Normal1"/>
              <w:spacing w:after="0"/>
              <w:ind w:left="426"/>
              <w:rPr>
                <w:sz w:val="20"/>
              </w:rPr>
            </w:pPr>
          </w:p>
        </w:tc>
        <w:tc>
          <w:tcPr>
            <w:tcW w:w="567" w:type="dxa"/>
          </w:tcPr>
          <w:p w:rsidR="002724F4" w:rsidRDefault="002724F4" w:rsidP="00011DDC">
            <w:pPr>
              <w:pStyle w:val="Normal1"/>
              <w:spacing w:after="0"/>
              <w:rPr>
                <w:sz w:val="20"/>
              </w:rPr>
            </w:pPr>
            <w:r>
              <w:rPr>
                <w:sz w:val="20"/>
              </w:rPr>
              <w:t>(i</w:t>
            </w:r>
            <w:r w:rsidR="0067193A">
              <w:rPr>
                <w:sz w:val="20"/>
              </w:rPr>
              <w:t>i</w:t>
            </w:r>
            <w:r>
              <w:rPr>
                <w:sz w:val="20"/>
              </w:rPr>
              <w:t>)</w:t>
            </w:r>
          </w:p>
        </w:tc>
        <w:tc>
          <w:tcPr>
            <w:tcW w:w="8545" w:type="dxa"/>
          </w:tcPr>
          <w:p w:rsidR="002724F4" w:rsidRDefault="002724F4" w:rsidP="002724F4">
            <w:pPr>
              <w:pStyle w:val="Normal1"/>
              <w:spacing w:after="0"/>
              <w:rPr>
                <w:sz w:val="20"/>
              </w:rPr>
            </w:pPr>
            <w:r>
              <w:rPr>
                <w:sz w:val="20"/>
              </w:rPr>
              <w:t>in relation to (b)</w:t>
            </w:r>
            <w:r w:rsidR="0067193A">
              <w:rPr>
                <w:sz w:val="20"/>
              </w:rPr>
              <w:t>(i)</w:t>
            </w:r>
            <w:r>
              <w:rPr>
                <w:sz w:val="20"/>
              </w:rPr>
              <w:t xml:space="preserve"> above, </w:t>
            </w:r>
            <w:r w:rsidR="00A87151">
              <w:rPr>
                <w:sz w:val="20"/>
              </w:rPr>
              <w:t xml:space="preserve">the Scheme(s) may use derivatives under </w:t>
            </w:r>
            <w:r w:rsidRPr="00843A21">
              <w:rPr>
                <w:sz w:val="20"/>
              </w:rPr>
              <w:t xml:space="preserve">the following circumstance(s) </w:t>
            </w:r>
            <w:r w:rsidR="00A87151" w:rsidRPr="003C3D6F">
              <w:rPr>
                <w:i/>
                <w:color w:val="0070C0"/>
                <w:sz w:val="20"/>
              </w:rPr>
              <w:t>(please tick all the applicable boxes)</w:t>
            </w:r>
            <w:r w:rsidR="00A87151">
              <w:rPr>
                <w:sz w:val="20"/>
              </w:rPr>
              <w:t xml:space="preserve"> and the net derivative exposure</w:t>
            </w:r>
            <w:r w:rsidR="00763EAB" w:rsidRPr="00763EAB">
              <w:rPr>
                <w:sz w:val="20"/>
                <w:vertAlign w:val="superscript"/>
              </w:rPr>
              <w:fldChar w:fldCharType="begin"/>
            </w:r>
            <w:r w:rsidR="00763EAB" w:rsidRPr="00763EAB">
              <w:rPr>
                <w:sz w:val="20"/>
                <w:vertAlign w:val="superscript"/>
              </w:rPr>
              <w:instrText xml:space="preserve"> NOTEREF _Ref530487065 \h </w:instrText>
            </w:r>
            <w:r w:rsidR="00763EAB">
              <w:rPr>
                <w:sz w:val="20"/>
                <w:vertAlign w:val="superscript"/>
              </w:rPr>
              <w:instrText xml:space="preserve"> \* MERGEFORMAT </w:instrText>
            </w:r>
            <w:r w:rsidR="00763EAB" w:rsidRPr="00763EAB">
              <w:rPr>
                <w:sz w:val="20"/>
                <w:vertAlign w:val="superscript"/>
              </w:rPr>
            </w:r>
            <w:r w:rsidR="00763EAB" w:rsidRPr="00763EAB">
              <w:rPr>
                <w:sz w:val="20"/>
                <w:vertAlign w:val="superscript"/>
              </w:rPr>
              <w:fldChar w:fldCharType="separate"/>
            </w:r>
            <w:r w:rsidR="003016FA">
              <w:rPr>
                <w:sz w:val="20"/>
                <w:vertAlign w:val="superscript"/>
              </w:rPr>
              <w:t>1</w:t>
            </w:r>
            <w:r w:rsidR="00763EAB" w:rsidRPr="00763EAB">
              <w:rPr>
                <w:sz w:val="20"/>
                <w:vertAlign w:val="superscript"/>
              </w:rPr>
              <w:fldChar w:fldCharType="end"/>
            </w:r>
            <w:r w:rsidR="00A87151">
              <w:rPr>
                <w:sz w:val="20"/>
              </w:rPr>
              <w:t xml:space="preserve"> stated in (b)(i) above has been calculated excluding these usage in accordance with the Derivative Guide</w:t>
            </w:r>
            <w:r w:rsidRPr="00843A21">
              <w:rPr>
                <w:sz w:val="20"/>
              </w:rPr>
              <w:t>:</w:t>
            </w:r>
          </w:p>
          <w:p w:rsidR="002724F4" w:rsidRPr="00843A21" w:rsidRDefault="002724F4" w:rsidP="002724F4">
            <w:pPr>
              <w:pStyle w:val="Normal1"/>
              <w:spacing w:after="0"/>
              <w:rPr>
                <w:sz w:val="20"/>
              </w:rPr>
            </w:pPr>
          </w:p>
          <w:p w:rsidR="002724F4" w:rsidRPr="00843A21" w:rsidRDefault="002724F4" w:rsidP="002724F4">
            <w:pPr>
              <w:pStyle w:val="Normal1"/>
              <w:spacing w:after="0"/>
              <w:rPr>
                <w:rFonts w:cs="Arial"/>
                <w:sz w:val="20"/>
              </w:rPr>
            </w:pPr>
            <w:r w:rsidRPr="00843A21">
              <w:rPr>
                <w:rFonts w:ascii="新細明體" w:hAnsi="新細明體" w:cs="Arial"/>
                <w:sz w:val="20"/>
              </w:rPr>
              <w:t>□</w:t>
            </w:r>
            <w:r w:rsidRPr="00843A21">
              <w:rPr>
                <w:rFonts w:ascii="新細明體" w:hAnsi="新細明體" w:cs="Arial"/>
                <w:sz w:val="20"/>
              </w:rPr>
              <w:tab/>
            </w:r>
            <w:r w:rsidRPr="00843A21">
              <w:rPr>
                <w:rFonts w:cs="Arial"/>
                <w:sz w:val="20"/>
              </w:rPr>
              <w:t>Netting, hedging or risk mitigation</w:t>
            </w:r>
          </w:p>
          <w:p w:rsidR="002724F4" w:rsidRPr="00843A21" w:rsidRDefault="002724F4" w:rsidP="002724F4">
            <w:pPr>
              <w:pStyle w:val="Normal1"/>
              <w:spacing w:after="0"/>
              <w:rPr>
                <w:rFonts w:cs="Arial"/>
                <w:sz w:val="20"/>
              </w:rPr>
            </w:pPr>
            <w:r w:rsidRPr="00843A21">
              <w:rPr>
                <w:rFonts w:ascii="新細明體" w:hAnsi="新細明體" w:cs="Arial"/>
                <w:sz w:val="20"/>
              </w:rPr>
              <w:t>□</w:t>
            </w:r>
            <w:r w:rsidRPr="00843A21">
              <w:rPr>
                <w:rFonts w:ascii="新細明體" w:hAnsi="新細明體" w:cs="Arial"/>
                <w:sz w:val="20"/>
              </w:rPr>
              <w:tab/>
            </w:r>
            <w:r w:rsidRPr="00843A21">
              <w:rPr>
                <w:rFonts w:cs="Arial"/>
                <w:sz w:val="20"/>
              </w:rPr>
              <w:t>Cash flow management</w:t>
            </w:r>
          </w:p>
          <w:p w:rsidR="002724F4" w:rsidRPr="00843A21" w:rsidRDefault="002724F4" w:rsidP="00F21872">
            <w:pPr>
              <w:pStyle w:val="Normal1"/>
              <w:spacing w:after="0"/>
              <w:ind w:left="459" w:hanging="459"/>
              <w:rPr>
                <w:rFonts w:cs="Arial"/>
                <w:sz w:val="20"/>
              </w:rPr>
            </w:pPr>
            <w:r w:rsidRPr="00843A21">
              <w:rPr>
                <w:rFonts w:ascii="新細明體" w:hAnsi="新細明體" w:cs="Arial"/>
                <w:sz w:val="20"/>
              </w:rPr>
              <w:t>□</w:t>
            </w:r>
            <w:r w:rsidRPr="00843A21">
              <w:rPr>
                <w:rFonts w:ascii="新細明體" w:hAnsi="新細明體" w:cs="Arial"/>
                <w:sz w:val="20"/>
              </w:rPr>
              <w:tab/>
            </w:r>
            <w:r w:rsidRPr="00843A21">
              <w:rPr>
                <w:rFonts w:cs="Arial"/>
                <w:sz w:val="20"/>
              </w:rPr>
              <w:t xml:space="preserve">Market access or exposure replication (without incremental leverage at </w:t>
            </w:r>
            <w:r w:rsidR="00F21872">
              <w:rPr>
                <w:rFonts w:cs="Arial"/>
                <w:sz w:val="20"/>
              </w:rPr>
              <w:t xml:space="preserve">the </w:t>
            </w:r>
            <w:r w:rsidRPr="00843A21">
              <w:rPr>
                <w:rFonts w:cs="Arial"/>
                <w:sz w:val="20"/>
              </w:rPr>
              <w:t>portfolio level</w:t>
            </w:r>
            <w:r w:rsidR="00F21872">
              <w:rPr>
                <w:rFonts w:cs="Arial"/>
                <w:sz w:val="20"/>
              </w:rPr>
              <w:t xml:space="preserve"> of the Scheme(s)</w:t>
            </w:r>
            <w:r w:rsidRPr="00843A21">
              <w:rPr>
                <w:rFonts w:cs="Arial"/>
                <w:sz w:val="20"/>
              </w:rPr>
              <w:t>)</w:t>
            </w:r>
          </w:p>
          <w:p w:rsidR="002724F4" w:rsidRPr="00843A21" w:rsidRDefault="002724F4" w:rsidP="002724F4">
            <w:pPr>
              <w:pStyle w:val="Normal1"/>
              <w:spacing w:after="0"/>
              <w:rPr>
                <w:sz w:val="20"/>
              </w:rPr>
            </w:pPr>
            <w:r w:rsidRPr="00843A21">
              <w:rPr>
                <w:rFonts w:ascii="新細明體" w:hAnsi="新細明體" w:cs="Arial"/>
                <w:sz w:val="20"/>
              </w:rPr>
              <w:t>□</w:t>
            </w:r>
            <w:r w:rsidRPr="00843A21">
              <w:rPr>
                <w:rFonts w:ascii="新細明體" w:hAnsi="新細明體" w:cs="Arial"/>
                <w:sz w:val="20"/>
              </w:rPr>
              <w:tab/>
            </w:r>
            <w:r w:rsidRPr="00843A21">
              <w:rPr>
                <w:rFonts w:cs="Arial"/>
                <w:sz w:val="20"/>
              </w:rPr>
              <w:t>Investment in conventional convertible bonds</w:t>
            </w:r>
          </w:p>
          <w:p w:rsidR="002724F4" w:rsidRDefault="002724F4" w:rsidP="00011DDC">
            <w:pPr>
              <w:pStyle w:val="Normal1"/>
              <w:spacing w:after="0"/>
              <w:rPr>
                <w:sz w:val="20"/>
              </w:rPr>
            </w:pPr>
          </w:p>
        </w:tc>
      </w:tr>
      <w:tr w:rsidR="002724F4" w:rsidTr="0067193A">
        <w:tc>
          <w:tcPr>
            <w:tcW w:w="426" w:type="dxa"/>
          </w:tcPr>
          <w:p w:rsidR="002724F4" w:rsidRDefault="002724F4" w:rsidP="002724F4">
            <w:pPr>
              <w:pStyle w:val="Normal1"/>
              <w:spacing w:after="0"/>
              <w:ind w:left="426"/>
              <w:rPr>
                <w:sz w:val="20"/>
              </w:rPr>
            </w:pPr>
          </w:p>
        </w:tc>
        <w:tc>
          <w:tcPr>
            <w:tcW w:w="567" w:type="dxa"/>
          </w:tcPr>
          <w:p w:rsidR="002724F4" w:rsidRDefault="002724F4" w:rsidP="00011DDC">
            <w:pPr>
              <w:pStyle w:val="Normal1"/>
              <w:spacing w:after="0"/>
              <w:rPr>
                <w:sz w:val="20"/>
              </w:rPr>
            </w:pPr>
            <w:r>
              <w:rPr>
                <w:sz w:val="20"/>
              </w:rPr>
              <w:t>(ii</w:t>
            </w:r>
            <w:r w:rsidR="0067193A">
              <w:rPr>
                <w:sz w:val="20"/>
              </w:rPr>
              <w:t>i</w:t>
            </w:r>
            <w:r>
              <w:rPr>
                <w:sz w:val="20"/>
              </w:rPr>
              <w:t>)</w:t>
            </w:r>
          </w:p>
        </w:tc>
        <w:tc>
          <w:tcPr>
            <w:tcW w:w="8545" w:type="dxa"/>
          </w:tcPr>
          <w:p w:rsidR="002724F4" w:rsidRDefault="001F7A49" w:rsidP="004A3B7D">
            <w:pPr>
              <w:pStyle w:val="Normal1"/>
              <w:spacing w:after="0"/>
              <w:rPr>
                <w:sz w:val="20"/>
              </w:rPr>
            </w:pPr>
            <w:r w:rsidRPr="00843A21">
              <w:rPr>
                <w:rFonts w:ascii="新細明體" w:hAnsi="新細明體" w:cs="Arial"/>
                <w:sz w:val="20"/>
              </w:rPr>
              <w:t>□</w:t>
            </w:r>
            <w:r w:rsidRPr="006C4956">
              <w:rPr>
                <w:i/>
                <w:sz w:val="20"/>
              </w:rPr>
              <w:t xml:space="preserve"> </w:t>
            </w:r>
            <w:r w:rsidRPr="003C3D6F">
              <w:rPr>
                <w:i/>
                <w:color w:val="0070C0"/>
                <w:sz w:val="20"/>
              </w:rPr>
              <w:t>(please tick if the Scheme</w:t>
            </w:r>
            <w:r w:rsidR="003D7981">
              <w:rPr>
                <w:i/>
                <w:color w:val="0070C0"/>
                <w:sz w:val="20"/>
              </w:rPr>
              <w:t>(s)</w:t>
            </w:r>
            <w:r w:rsidRPr="003C3D6F">
              <w:rPr>
                <w:i/>
                <w:color w:val="0070C0"/>
                <w:sz w:val="20"/>
              </w:rPr>
              <w:t xml:space="preserve"> will use derivative</w:t>
            </w:r>
            <w:r w:rsidR="00CB4201" w:rsidRPr="003C3D6F">
              <w:rPr>
                <w:i/>
                <w:color w:val="0070C0"/>
                <w:sz w:val="20"/>
              </w:rPr>
              <w:t>s</w:t>
            </w:r>
            <w:r w:rsidRPr="003C3D6F">
              <w:rPr>
                <w:i/>
                <w:color w:val="0070C0"/>
                <w:sz w:val="20"/>
              </w:rPr>
              <w:t xml:space="preserve"> not referenced to the same underlying assets for</w:t>
            </w:r>
            <w:r w:rsidR="002724F4" w:rsidRPr="003C3D6F">
              <w:rPr>
                <w:i/>
                <w:color w:val="0070C0"/>
                <w:sz w:val="20"/>
              </w:rPr>
              <w:t xml:space="preserve"> </w:t>
            </w:r>
            <w:r w:rsidR="002724F4" w:rsidRPr="003C3D6F">
              <w:rPr>
                <w:rFonts w:cs="Arial"/>
                <w:i/>
                <w:color w:val="0070C0"/>
                <w:sz w:val="20"/>
              </w:rPr>
              <w:t>hedging or risk mitigation</w:t>
            </w:r>
            <w:r w:rsidRPr="003C3D6F">
              <w:rPr>
                <w:rFonts w:cs="Arial"/>
                <w:i/>
                <w:color w:val="0070C0"/>
                <w:sz w:val="20"/>
              </w:rPr>
              <w:t xml:space="preserve"> purposes</w:t>
            </w:r>
            <w:r w:rsidR="002724F4" w:rsidRPr="003C3D6F">
              <w:rPr>
                <w:i/>
                <w:color w:val="0070C0"/>
                <w:sz w:val="20"/>
              </w:rPr>
              <w:t>)</w:t>
            </w:r>
            <w:r w:rsidR="002724F4" w:rsidRPr="00843A21">
              <w:rPr>
                <w:sz w:val="20"/>
              </w:rPr>
              <w:t xml:space="preserve"> the </w:t>
            </w:r>
            <w:r w:rsidR="002724F4" w:rsidRPr="00843A21">
              <w:rPr>
                <w:sz w:val="20"/>
                <w:lang w:val="en-US"/>
              </w:rPr>
              <w:t xml:space="preserve">use of derivatives </w:t>
            </w:r>
            <w:r w:rsidR="003D7981">
              <w:rPr>
                <w:sz w:val="20"/>
                <w:lang w:val="en-US"/>
              </w:rPr>
              <w:t xml:space="preserve">by the Scheme(s) </w:t>
            </w:r>
            <w:r w:rsidR="002724F4" w:rsidRPr="00843A21">
              <w:rPr>
                <w:sz w:val="20"/>
                <w:lang w:val="en-US"/>
              </w:rPr>
              <w:t xml:space="preserve">for hedging or risk mitigation purposes </w:t>
            </w:r>
            <w:r w:rsidR="00A87151">
              <w:rPr>
                <w:sz w:val="20"/>
                <w:lang w:val="en-US"/>
              </w:rPr>
              <w:t>are in compliance with</w:t>
            </w:r>
            <w:r w:rsidR="002724F4" w:rsidRPr="00843A21">
              <w:rPr>
                <w:sz w:val="20"/>
                <w:lang w:val="en-US"/>
              </w:rPr>
              <w:t xml:space="preserve"> </w:t>
            </w:r>
            <w:r w:rsidR="002724F4">
              <w:rPr>
                <w:sz w:val="20"/>
                <w:lang w:val="en-US"/>
              </w:rPr>
              <w:t xml:space="preserve">and will continue to comply </w:t>
            </w:r>
            <w:r w:rsidR="002724F4" w:rsidRPr="00843A21">
              <w:rPr>
                <w:sz w:val="20"/>
                <w:lang w:val="en-US"/>
              </w:rPr>
              <w:t xml:space="preserve">with (i) </w:t>
            </w:r>
            <w:r w:rsidR="006C18BE">
              <w:rPr>
                <w:sz w:val="20"/>
                <w:lang w:val="en-US"/>
              </w:rPr>
              <w:t xml:space="preserve">the </w:t>
            </w:r>
            <w:r w:rsidR="002724F4" w:rsidRPr="00843A21">
              <w:rPr>
                <w:sz w:val="20"/>
                <w:lang w:val="en-US"/>
              </w:rPr>
              <w:t xml:space="preserve">principles of hedging under 7.25 of the </w:t>
            </w:r>
            <w:r w:rsidR="006C18BE">
              <w:rPr>
                <w:sz w:val="20"/>
                <w:lang w:val="en-US"/>
              </w:rPr>
              <w:t>UT Code</w:t>
            </w:r>
            <w:r w:rsidR="002724F4" w:rsidRPr="00843A21">
              <w:rPr>
                <w:sz w:val="20"/>
                <w:lang w:val="en-US"/>
              </w:rPr>
              <w:t xml:space="preserve"> and (ii) </w:t>
            </w:r>
            <w:r w:rsidR="006C18BE">
              <w:rPr>
                <w:sz w:val="20"/>
                <w:lang w:val="en-US"/>
              </w:rPr>
              <w:t xml:space="preserve">the </w:t>
            </w:r>
            <w:r w:rsidR="002724F4" w:rsidRPr="00843A21">
              <w:rPr>
                <w:sz w:val="20"/>
                <w:lang w:val="en-US"/>
              </w:rPr>
              <w:t xml:space="preserve">criteria </w:t>
            </w:r>
            <w:r w:rsidR="006C18BE">
              <w:rPr>
                <w:sz w:val="20"/>
                <w:lang w:val="en-US"/>
              </w:rPr>
              <w:t xml:space="preserve">as provided </w:t>
            </w:r>
            <w:r w:rsidR="002724F4" w:rsidRPr="00843A21">
              <w:rPr>
                <w:sz w:val="20"/>
                <w:lang w:val="en-US"/>
              </w:rPr>
              <w:t xml:space="preserve">under </w:t>
            </w:r>
            <w:r w:rsidR="004A3B7D">
              <w:rPr>
                <w:rFonts w:cs="Arial"/>
                <w:sz w:val="20"/>
                <w:lang w:val="en-US"/>
              </w:rPr>
              <w:t>paragraph 17 under Chapter 3</w:t>
            </w:r>
            <w:r w:rsidR="004A3B7D" w:rsidRPr="006B161E">
              <w:rPr>
                <w:rFonts w:cs="Arial"/>
                <w:sz w:val="20"/>
                <w:lang w:val="en-US"/>
              </w:rPr>
              <w:t xml:space="preserve"> </w:t>
            </w:r>
            <w:r w:rsidR="002724F4" w:rsidRPr="00843A21">
              <w:rPr>
                <w:sz w:val="20"/>
                <w:lang w:val="en-US"/>
              </w:rPr>
              <w:t>of the Derivative Guide;</w:t>
            </w:r>
          </w:p>
        </w:tc>
      </w:tr>
    </w:tbl>
    <w:p w:rsidR="0013010B" w:rsidRPr="00843A21" w:rsidRDefault="0013010B" w:rsidP="0013010B">
      <w:pPr>
        <w:pStyle w:val="Normal1"/>
        <w:spacing w:after="0"/>
        <w:ind w:left="426"/>
        <w:rPr>
          <w:sz w:val="20"/>
        </w:rPr>
      </w:pPr>
    </w:p>
    <w:p w:rsidR="00206CCD" w:rsidRPr="00206CCD" w:rsidRDefault="00206CCD" w:rsidP="00585B45">
      <w:pPr>
        <w:pStyle w:val="Normal1"/>
        <w:numPr>
          <w:ilvl w:val="0"/>
          <w:numId w:val="4"/>
        </w:numPr>
        <w:spacing w:after="0"/>
        <w:ind w:left="426" w:hanging="426"/>
        <w:rPr>
          <w:sz w:val="20"/>
        </w:rPr>
      </w:pPr>
      <w:r w:rsidRPr="00843A21">
        <w:rPr>
          <w:rFonts w:ascii="新細明體" w:hAnsi="新細明體" w:cs="Arial"/>
          <w:sz w:val="20"/>
        </w:rPr>
        <w:t>□</w:t>
      </w:r>
      <w:r w:rsidRPr="006C4956">
        <w:rPr>
          <w:i/>
          <w:sz w:val="20"/>
        </w:rPr>
        <w:t xml:space="preserve"> </w:t>
      </w:r>
      <w:r w:rsidRPr="00206CCD">
        <w:rPr>
          <w:rFonts w:cs="Arial"/>
          <w:i/>
          <w:color w:val="0070C0"/>
          <w:sz w:val="20"/>
        </w:rPr>
        <w:t>(please tick if the Scheme</w:t>
      </w:r>
      <w:r w:rsidR="003D7981">
        <w:rPr>
          <w:rFonts w:cs="Arial"/>
          <w:i/>
          <w:color w:val="0070C0"/>
          <w:sz w:val="20"/>
        </w:rPr>
        <w:t>(s)</w:t>
      </w:r>
      <w:r w:rsidRPr="00206CCD">
        <w:rPr>
          <w:rFonts w:cs="Arial"/>
          <w:i/>
          <w:color w:val="0070C0"/>
          <w:sz w:val="20"/>
        </w:rPr>
        <w:t xml:space="preserve"> fall</w:t>
      </w:r>
      <w:r w:rsidR="003D7981">
        <w:rPr>
          <w:rFonts w:cs="Arial"/>
          <w:i/>
          <w:color w:val="0070C0"/>
          <w:sz w:val="20"/>
        </w:rPr>
        <w:t>(</w:t>
      </w:r>
      <w:r w:rsidRPr="00206CCD">
        <w:rPr>
          <w:rFonts w:cs="Arial"/>
          <w:i/>
          <w:color w:val="0070C0"/>
          <w:sz w:val="20"/>
        </w:rPr>
        <w:t>s</w:t>
      </w:r>
      <w:r w:rsidR="003D7981">
        <w:rPr>
          <w:rFonts w:cs="Arial"/>
          <w:i/>
          <w:color w:val="0070C0"/>
          <w:sz w:val="20"/>
        </w:rPr>
        <w:t>)</w:t>
      </w:r>
      <w:r w:rsidRPr="00206CCD">
        <w:rPr>
          <w:rFonts w:cs="Arial"/>
          <w:i/>
          <w:color w:val="0070C0"/>
          <w:sz w:val="20"/>
        </w:rPr>
        <w:t xml:space="preserve"> under 8.8 of the UT Code)</w:t>
      </w:r>
      <w:r>
        <w:rPr>
          <w:rFonts w:cs="Arial"/>
          <w:i/>
          <w:sz w:val="20"/>
        </w:rPr>
        <w:t xml:space="preserve"> </w:t>
      </w:r>
      <w:r w:rsidRPr="00797159">
        <w:rPr>
          <w:rFonts w:cs="Arial"/>
          <w:sz w:val="20"/>
        </w:rPr>
        <w:t xml:space="preserve">the </w:t>
      </w:r>
      <w:r>
        <w:rPr>
          <w:rFonts w:cs="Arial"/>
          <w:sz w:val="20"/>
        </w:rPr>
        <w:t>Scheme</w:t>
      </w:r>
      <w:r w:rsidR="003D7981">
        <w:rPr>
          <w:rFonts w:cs="Arial"/>
          <w:sz w:val="20"/>
        </w:rPr>
        <w:t>(s)</w:t>
      </w:r>
      <w:r>
        <w:rPr>
          <w:rFonts w:cs="Arial"/>
          <w:sz w:val="20"/>
        </w:rPr>
        <w:t xml:space="preserve"> is</w:t>
      </w:r>
      <w:r w:rsidR="003D7981">
        <w:rPr>
          <w:rFonts w:cs="Arial"/>
          <w:sz w:val="20"/>
        </w:rPr>
        <w:t>/are</w:t>
      </w:r>
      <w:r>
        <w:rPr>
          <w:rFonts w:cs="Arial"/>
          <w:sz w:val="20"/>
        </w:rPr>
        <w:t xml:space="preserve"> scheme</w:t>
      </w:r>
      <w:r w:rsidR="003D7981">
        <w:rPr>
          <w:rFonts w:cs="Arial"/>
          <w:sz w:val="20"/>
        </w:rPr>
        <w:t>(s)</w:t>
      </w:r>
      <w:r>
        <w:rPr>
          <w:rFonts w:cs="Arial"/>
          <w:sz w:val="20"/>
        </w:rPr>
        <w:t xml:space="preserve"> falling under 8.8 of the UT Code with </w:t>
      </w:r>
      <w:r w:rsidR="006C18BE">
        <w:rPr>
          <w:rFonts w:cs="Arial"/>
          <w:sz w:val="20"/>
        </w:rPr>
        <w:t xml:space="preserve">a </w:t>
      </w:r>
      <w:r>
        <w:rPr>
          <w:rFonts w:cs="Arial"/>
          <w:sz w:val="20"/>
        </w:rPr>
        <w:t>net derivative exposure</w:t>
      </w:r>
      <w:r w:rsidR="00763EAB" w:rsidRPr="00763EAB">
        <w:rPr>
          <w:sz w:val="20"/>
          <w:vertAlign w:val="superscript"/>
        </w:rPr>
        <w:fldChar w:fldCharType="begin"/>
      </w:r>
      <w:r w:rsidR="00763EAB" w:rsidRPr="00763EAB">
        <w:rPr>
          <w:sz w:val="20"/>
          <w:vertAlign w:val="superscript"/>
        </w:rPr>
        <w:instrText xml:space="preserve"> NOTEREF _Ref530487065 \h </w:instrText>
      </w:r>
      <w:r w:rsidR="00763EAB">
        <w:rPr>
          <w:sz w:val="20"/>
          <w:vertAlign w:val="superscript"/>
        </w:rPr>
        <w:instrText xml:space="preserve"> \* MERGEFORMAT </w:instrText>
      </w:r>
      <w:r w:rsidR="00763EAB" w:rsidRPr="00763EAB">
        <w:rPr>
          <w:sz w:val="20"/>
          <w:vertAlign w:val="superscript"/>
        </w:rPr>
      </w:r>
      <w:r w:rsidR="00763EAB" w:rsidRPr="00763EAB">
        <w:rPr>
          <w:sz w:val="20"/>
          <w:vertAlign w:val="superscript"/>
        </w:rPr>
        <w:fldChar w:fldCharType="separate"/>
      </w:r>
      <w:r w:rsidR="003016FA">
        <w:rPr>
          <w:sz w:val="20"/>
          <w:vertAlign w:val="superscript"/>
        </w:rPr>
        <w:t>1</w:t>
      </w:r>
      <w:r w:rsidR="00763EAB" w:rsidRPr="00763EAB">
        <w:rPr>
          <w:sz w:val="20"/>
          <w:vertAlign w:val="superscript"/>
        </w:rPr>
        <w:fldChar w:fldCharType="end"/>
      </w:r>
      <w:r>
        <w:rPr>
          <w:rFonts w:cs="Arial"/>
          <w:sz w:val="20"/>
        </w:rPr>
        <w:t xml:space="preserve"> (</w:t>
      </w:r>
      <w:r w:rsidRPr="00843A21">
        <w:rPr>
          <w:sz w:val="20"/>
        </w:rPr>
        <w:t xml:space="preserve">calculated </w:t>
      </w:r>
      <w:r>
        <w:rPr>
          <w:sz w:val="20"/>
        </w:rPr>
        <w:t xml:space="preserve">in accordance with the </w:t>
      </w:r>
      <w:r w:rsidR="006C18BE">
        <w:rPr>
          <w:sz w:val="20"/>
        </w:rPr>
        <w:t xml:space="preserve">guidance and requirements as </w:t>
      </w:r>
      <w:r>
        <w:rPr>
          <w:sz w:val="20"/>
        </w:rPr>
        <w:t>set out in</w:t>
      </w:r>
      <w:r w:rsidRPr="00843A21">
        <w:rPr>
          <w:sz w:val="20"/>
        </w:rPr>
        <w:t xml:space="preserve"> the </w:t>
      </w:r>
      <w:r>
        <w:rPr>
          <w:sz w:val="20"/>
        </w:rPr>
        <w:t>Derivative</w:t>
      </w:r>
      <w:r w:rsidRPr="00011DDC">
        <w:rPr>
          <w:sz w:val="20"/>
        </w:rPr>
        <w:t xml:space="preserve"> Guide</w:t>
      </w:r>
      <w:r>
        <w:rPr>
          <w:sz w:val="20"/>
        </w:rPr>
        <w:t>)</w:t>
      </w:r>
      <w:r w:rsidRPr="00011DDC">
        <w:rPr>
          <w:sz w:val="20"/>
        </w:rPr>
        <w:t xml:space="preserve"> </w:t>
      </w:r>
      <w:r w:rsidR="006C18BE">
        <w:rPr>
          <w:sz w:val="20"/>
        </w:rPr>
        <w:t xml:space="preserve">of </w:t>
      </w:r>
      <w:r w:rsidR="002773AC" w:rsidRPr="007904FA">
        <w:rPr>
          <w:sz w:val="20"/>
        </w:rPr>
        <w:t>[</w:t>
      </w:r>
      <w:r w:rsidR="006C18BE" w:rsidRPr="007904FA">
        <w:rPr>
          <w:sz w:val="20"/>
        </w:rPr>
        <w:t>more than</w:t>
      </w:r>
      <w:r w:rsidRPr="007904FA">
        <w:rPr>
          <w:rFonts w:cs="Arial"/>
          <w:sz w:val="20"/>
        </w:rPr>
        <w:t xml:space="preserve"> 50% </w:t>
      </w:r>
      <w:r w:rsidR="000D5C86" w:rsidRPr="007904FA">
        <w:rPr>
          <w:rFonts w:cs="Arial"/>
          <w:sz w:val="20"/>
        </w:rPr>
        <w:t xml:space="preserve">and up to 100% </w:t>
      </w:r>
      <w:r w:rsidR="002773AC" w:rsidRPr="007904FA">
        <w:rPr>
          <w:rFonts w:cs="Arial"/>
          <w:sz w:val="20"/>
        </w:rPr>
        <w:t xml:space="preserve">/ more than 100% </w:t>
      </w:r>
      <w:r w:rsidR="000D5C86" w:rsidRPr="007904FA">
        <w:rPr>
          <w:rFonts w:cs="Arial"/>
          <w:i/>
          <w:sz w:val="20"/>
        </w:rPr>
        <w:t>(please delete where appropriate)</w:t>
      </w:r>
      <w:r w:rsidR="000D5C86" w:rsidRPr="007904FA">
        <w:rPr>
          <w:rFonts w:cs="Arial"/>
          <w:sz w:val="20"/>
        </w:rPr>
        <w:t>]</w:t>
      </w:r>
      <w:bookmarkStart w:id="1" w:name="_GoBack"/>
      <w:bookmarkEnd w:id="1"/>
      <w:r w:rsidR="00C20B6E" w:rsidRPr="00E37EBF">
        <w:rPr>
          <w:rFonts w:cs="Arial"/>
          <w:i/>
          <w:sz w:val="20"/>
        </w:rPr>
        <w:t xml:space="preserve"> </w:t>
      </w:r>
      <w:r>
        <w:rPr>
          <w:rFonts w:cs="Arial"/>
          <w:sz w:val="20"/>
        </w:rPr>
        <w:t xml:space="preserve">of </w:t>
      </w:r>
      <w:r w:rsidR="006C18BE">
        <w:rPr>
          <w:rFonts w:cs="Arial"/>
          <w:sz w:val="20"/>
        </w:rPr>
        <w:t>the</w:t>
      </w:r>
      <w:r>
        <w:rPr>
          <w:rFonts w:cs="Arial"/>
          <w:sz w:val="20"/>
        </w:rPr>
        <w:t xml:space="preserve"> NAV</w:t>
      </w:r>
      <w:r w:rsidR="006C18BE">
        <w:rPr>
          <w:rFonts w:cs="Arial"/>
          <w:sz w:val="20"/>
        </w:rPr>
        <w:t xml:space="preserve"> of the Scheme(s)</w:t>
      </w:r>
      <w:r>
        <w:rPr>
          <w:rFonts w:cs="Arial"/>
          <w:sz w:val="20"/>
        </w:rPr>
        <w:t>;</w:t>
      </w:r>
    </w:p>
    <w:p w:rsidR="00011DDC" w:rsidRPr="007904FA" w:rsidRDefault="00011DDC" w:rsidP="00011DDC">
      <w:pPr>
        <w:pStyle w:val="ListParagraph"/>
        <w:rPr>
          <w:sz w:val="20"/>
          <w:lang w:val="en-GB"/>
        </w:rPr>
      </w:pPr>
    </w:p>
    <w:p w:rsidR="00763EAB" w:rsidRPr="00763EAB" w:rsidRDefault="00763EAB" w:rsidP="00585B45">
      <w:pPr>
        <w:pStyle w:val="Normal1"/>
        <w:numPr>
          <w:ilvl w:val="0"/>
          <w:numId w:val="4"/>
        </w:numPr>
        <w:spacing w:after="0"/>
        <w:ind w:left="426" w:hanging="426"/>
        <w:rPr>
          <w:sz w:val="20"/>
        </w:rPr>
      </w:pPr>
      <w:r>
        <w:rPr>
          <w:sz w:val="20"/>
        </w:rPr>
        <w:lastRenderedPageBreak/>
        <w:t>the Scheme(s) [is/are][is/are</w:t>
      </w:r>
      <w:r>
        <w:rPr>
          <w:rFonts w:cs="Arial"/>
          <w:sz w:val="20"/>
        </w:rPr>
        <w:t xml:space="preserve"> not] </w:t>
      </w:r>
      <w:r w:rsidRPr="00AB2CDE">
        <w:rPr>
          <w:i/>
          <w:color w:val="0065CC" w:themeColor="accent5" w:themeShade="80"/>
          <w:sz w:val="20"/>
        </w:rPr>
        <w:t>(please delete where appropriate)</w:t>
      </w:r>
      <w:r>
        <w:rPr>
          <w:i/>
          <w:sz w:val="20"/>
        </w:rPr>
        <w:t xml:space="preserve"> </w:t>
      </w:r>
      <w:r>
        <w:rPr>
          <w:rFonts w:cs="Arial"/>
          <w:sz w:val="20"/>
        </w:rPr>
        <w:t>derivative fund(s)</w:t>
      </w:r>
      <w:r>
        <w:rPr>
          <w:rStyle w:val="FootnoteReference"/>
          <w:rFonts w:cs="Arial"/>
          <w:sz w:val="20"/>
        </w:rPr>
        <w:footnoteReference w:id="2"/>
      </w:r>
      <w:r>
        <w:rPr>
          <w:rFonts w:cs="Arial"/>
          <w:sz w:val="20"/>
        </w:rPr>
        <w:t>;</w:t>
      </w:r>
    </w:p>
    <w:p w:rsidR="00763EAB" w:rsidRDefault="00763EAB" w:rsidP="00763EAB">
      <w:pPr>
        <w:pStyle w:val="Normal1"/>
        <w:spacing w:after="0"/>
        <w:ind w:left="426"/>
        <w:rPr>
          <w:sz w:val="20"/>
        </w:rPr>
      </w:pPr>
    </w:p>
    <w:p w:rsidR="00C94C84" w:rsidRPr="00011DDC" w:rsidRDefault="00011DDC" w:rsidP="00585B45">
      <w:pPr>
        <w:pStyle w:val="Normal1"/>
        <w:numPr>
          <w:ilvl w:val="0"/>
          <w:numId w:val="4"/>
        </w:numPr>
        <w:spacing w:after="0"/>
        <w:ind w:left="426" w:hanging="426"/>
        <w:rPr>
          <w:sz w:val="20"/>
        </w:rPr>
      </w:pPr>
      <w:r w:rsidRPr="00011DDC">
        <w:rPr>
          <w:sz w:val="20"/>
        </w:rPr>
        <w:t xml:space="preserve">all </w:t>
      </w:r>
      <w:r w:rsidR="006C18BE">
        <w:rPr>
          <w:sz w:val="20"/>
        </w:rPr>
        <w:t xml:space="preserve">applicable </w:t>
      </w:r>
      <w:r w:rsidRPr="00011DDC">
        <w:rPr>
          <w:sz w:val="20"/>
        </w:rPr>
        <w:t>requirements and conditions set out in the Derivative Guide, as amended from time to time, have been and will be complied with by the Scheme</w:t>
      </w:r>
      <w:r w:rsidR="00763EAB">
        <w:rPr>
          <w:sz w:val="20"/>
        </w:rPr>
        <w:t>(s)</w:t>
      </w:r>
      <w:r w:rsidRPr="00011DDC">
        <w:rPr>
          <w:sz w:val="20"/>
        </w:rPr>
        <w:t>;</w:t>
      </w:r>
      <w:r>
        <w:rPr>
          <w:sz w:val="20"/>
        </w:rPr>
        <w:t xml:space="preserve"> </w:t>
      </w:r>
      <w:r w:rsidR="00C94C84" w:rsidRPr="00011DDC">
        <w:rPr>
          <w:sz w:val="20"/>
        </w:rPr>
        <w:t>and</w:t>
      </w:r>
    </w:p>
    <w:p w:rsidR="00585B45" w:rsidRPr="00843A21" w:rsidRDefault="00585B45" w:rsidP="00585B45">
      <w:pPr>
        <w:pStyle w:val="ListParagraph"/>
        <w:rPr>
          <w:sz w:val="20"/>
        </w:rPr>
      </w:pPr>
    </w:p>
    <w:p w:rsidR="00585B45" w:rsidRPr="00843A21" w:rsidRDefault="00763EAB" w:rsidP="00585B45">
      <w:pPr>
        <w:pStyle w:val="Normal1"/>
        <w:numPr>
          <w:ilvl w:val="0"/>
          <w:numId w:val="4"/>
        </w:numPr>
        <w:spacing w:after="0"/>
        <w:ind w:left="426" w:hanging="426"/>
        <w:rPr>
          <w:sz w:val="20"/>
        </w:rPr>
      </w:pPr>
      <w:r w:rsidRPr="00843A21">
        <w:rPr>
          <w:sz w:val="20"/>
        </w:rPr>
        <w:t xml:space="preserve">we will notify the SFC immediately if there are any changes to the </w:t>
      </w:r>
      <w:r>
        <w:rPr>
          <w:sz w:val="20"/>
        </w:rPr>
        <w:t>information</w:t>
      </w:r>
      <w:r w:rsidRPr="00843A21">
        <w:rPr>
          <w:sz w:val="20"/>
        </w:rPr>
        <w:t xml:space="preserve"> and</w:t>
      </w:r>
      <w:r>
        <w:rPr>
          <w:sz w:val="20"/>
        </w:rPr>
        <w:t>/or</w:t>
      </w:r>
      <w:r w:rsidRPr="00843A21">
        <w:rPr>
          <w:sz w:val="20"/>
        </w:rPr>
        <w:t xml:space="preserve"> representations provided to the SFC </w:t>
      </w:r>
      <w:r>
        <w:rPr>
          <w:sz w:val="20"/>
        </w:rPr>
        <w:t xml:space="preserve">from time to time in connection with this confirmation </w:t>
      </w:r>
      <w:r w:rsidRPr="00843A21">
        <w:rPr>
          <w:sz w:val="20"/>
        </w:rPr>
        <w:t xml:space="preserve">or where </w:t>
      </w:r>
      <w:r>
        <w:rPr>
          <w:sz w:val="20"/>
        </w:rPr>
        <w:t>we</w:t>
      </w:r>
      <w:r w:rsidRPr="00843A21">
        <w:rPr>
          <w:sz w:val="20"/>
        </w:rPr>
        <w:t xml:space="preserve"> have become aware of any matters or changes in circumstances that may </w:t>
      </w:r>
      <w:r>
        <w:rPr>
          <w:sz w:val="20"/>
        </w:rPr>
        <w:t xml:space="preserve">change or </w:t>
      </w:r>
      <w:r w:rsidRPr="00843A21">
        <w:rPr>
          <w:sz w:val="20"/>
        </w:rPr>
        <w:t xml:space="preserve">affect the </w:t>
      </w:r>
      <w:r>
        <w:rPr>
          <w:sz w:val="20"/>
        </w:rPr>
        <w:t>determination or classification provided under (</w:t>
      </w:r>
      <w:r w:rsidR="005714E8">
        <w:rPr>
          <w:sz w:val="20"/>
        </w:rPr>
        <w:t>d</w:t>
      </w:r>
      <w:r>
        <w:rPr>
          <w:sz w:val="20"/>
        </w:rPr>
        <w:t>) above</w:t>
      </w:r>
      <w:r w:rsidRPr="00843A21">
        <w:rPr>
          <w:sz w:val="20"/>
        </w:rPr>
        <w:t xml:space="preserve"> </w:t>
      </w:r>
      <w:r>
        <w:rPr>
          <w:sz w:val="20"/>
        </w:rPr>
        <w:t>in connection with the use of derivatives by the Scheme(s)</w:t>
      </w:r>
      <w:r w:rsidR="00843A21" w:rsidRPr="00843A21">
        <w:rPr>
          <w:sz w:val="20"/>
        </w:rPr>
        <w:t>.</w:t>
      </w:r>
    </w:p>
    <w:p w:rsidR="00585B45" w:rsidRDefault="00585B45" w:rsidP="00585B45">
      <w:pPr>
        <w:pStyle w:val="Normal1"/>
        <w:spacing w:after="0"/>
        <w:rPr>
          <w:rFonts w:cs="Arial"/>
          <w:bCs/>
          <w:sz w:val="20"/>
          <w:lang w:val="en-US"/>
        </w:rPr>
      </w:pPr>
    </w:p>
    <w:p w:rsidR="00E508B9" w:rsidRPr="00062AC8" w:rsidRDefault="00E508B9" w:rsidP="003C3D6F">
      <w:pPr>
        <w:adjustRightInd w:val="0"/>
        <w:snapToGrid w:val="0"/>
        <w:contextualSpacing/>
        <w:rPr>
          <w:rFonts w:cs="Arial"/>
          <w:sz w:val="20"/>
          <w:u w:val="single"/>
        </w:rPr>
      </w:pPr>
      <w:r w:rsidRPr="00062AC8">
        <w:rPr>
          <w:rFonts w:cs="Arial"/>
          <w:sz w:val="20"/>
          <w:u w:val="single"/>
        </w:rPr>
        <w:t>General</w:t>
      </w:r>
    </w:p>
    <w:p w:rsidR="00E508B9" w:rsidRDefault="00763EAB" w:rsidP="00585B45">
      <w:pPr>
        <w:pStyle w:val="Normal1"/>
        <w:spacing w:after="0"/>
        <w:rPr>
          <w:rFonts w:cs="Arial"/>
          <w:sz w:val="20"/>
        </w:rPr>
      </w:pPr>
      <w:r w:rsidRPr="00062AC8">
        <w:rPr>
          <w:rFonts w:cs="Arial"/>
          <w:sz w:val="20"/>
        </w:rPr>
        <w:t xml:space="preserve">We confirm that all information contained in this </w:t>
      </w:r>
      <w:r>
        <w:rPr>
          <w:rFonts w:cs="Arial"/>
          <w:sz w:val="20"/>
        </w:rPr>
        <w:t xml:space="preserve">confirmation </w:t>
      </w:r>
      <w:r w:rsidR="0020089C">
        <w:rPr>
          <w:rFonts w:cs="Arial"/>
          <w:sz w:val="20"/>
        </w:rPr>
        <w:t xml:space="preserve">is </w:t>
      </w:r>
      <w:r>
        <w:rPr>
          <w:rFonts w:cs="Arial"/>
          <w:sz w:val="20"/>
        </w:rPr>
        <w:t xml:space="preserve">true and </w:t>
      </w:r>
      <w:r w:rsidRPr="006C18BE">
        <w:rPr>
          <w:rFonts w:cs="Arial"/>
          <w:sz w:val="20"/>
        </w:rPr>
        <w:t>accurate</w:t>
      </w:r>
      <w:r w:rsidR="006C18BE" w:rsidRPr="006C18BE">
        <w:rPr>
          <w:rFonts w:cs="Arial"/>
          <w:sz w:val="20"/>
        </w:rPr>
        <w:t>; and unless otherwise specifically allowed for in this confirmation, no deletion, addition or amendment has been made to the standard template of this confirmation as published on the SFC website</w:t>
      </w:r>
      <w:r w:rsidRPr="006C18BE">
        <w:rPr>
          <w:rFonts w:cs="Arial"/>
          <w:sz w:val="20"/>
        </w:rPr>
        <w:t xml:space="preserve">. </w:t>
      </w:r>
      <w:r>
        <w:rPr>
          <w:rFonts w:cs="Arial"/>
          <w:sz w:val="20"/>
        </w:rPr>
        <w:t xml:space="preserve">We acknowledge that the information posted on </w:t>
      </w:r>
      <w:r w:rsidRPr="00763EAB">
        <w:rPr>
          <w:rFonts w:cs="Arial"/>
          <w:sz w:val="20"/>
        </w:rPr>
        <w:t>the SFC website to indicate whether the Scheme(s) is/are derivative fund(s) is based on the confirmations and representations we provided hereunder and it is not an endorsement of the suitability of the Scheme(s) for any particular investor or class of investors</w:t>
      </w:r>
      <w:r>
        <w:rPr>
          <w:rFonts w:cs="Arial"/>
          <w:sz w:val="20"/>
        </w:rPr>
        <w:t>.</w:t>
      </w:r>
    </w:p>
    <w:p w:rsidR="00763EAB" w:rsidRDefault="00763EAB" w:rsidP="00585B45">
      <w:pPr>
        <w:pStyle w:val="Normal1"/>
        <w:spacing w:after="0"/>
        <w:rPr>
          <w:rFonts w:cs="Arial"/>
          <w:bCs/>
          <w:sz w:val="20"/>
          <w:lang w:val="en-US"/>
        </w:rPr>
      </w:pPr>
    </w:p>
    <w:p w:rsidR="00AA5F3D" w:rsidRDefault="00AA5F3D" w:rsidP="00585B45">
      <w:pPr>
        <w:pStyle w:val="Normal1"/>
        <w:spacing w:after="0"/>
      </w:pPr>
      <w:r w:rsidRPr="00585B45">
        <w:rPr>
          <w:rFonts w:cs="Arial"/>
          <w:bCs/>
          <w:sz w:val="20"/>
        </w:rPr>
        <w:t>Signed for and on behalf of:</w:t>
      </w:r>
    </w:p>
    <w:p w:rsidR="00AA5F3D" w:rsidRDefault="00AA5F3D" w:rsidP="00AA5F3D">
      <w:pPr>
        <w:rPr>
          <w:lang w:val="en-GB"/>
        </w:rPr>
      </w:pPr>
    </w:p>
    <w:tbl>
      <w:tblPr>
        <w:tblStyle w:val="SFCDefaultTableSty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426"/>
        <w:gridCol w:w="6378"/>
      </w:tblGrid>
      <w:tr w:rsidR="006C18BE" w:rsidTr="007D2FD7">
        <w:tc>
          <w:tcPr>
            <w:tcW w:w="2660" w:type="dxa"/>
          </w:tcPr>
          <w:p w:rsidR="006C18BE" w:rsidRDefault="006C18BE" w:rsidP="007D2FD7">
            <w:pPr>
              <w:rPr>
                <w:lang w:val="en-GB"/>
              </w:rPr>
            </w:pPr>
            <w:r>
              <w:rPr>
                <w:rFonts w:cs="Arial"/>
                <w:sz w:val="20"/>
              </w:rPr>
              <w:t>Name of management company</w:t>
            </w:r>
            <w:bookmarkStart w:id="2" w:name="_Ref530748868"/>
            <w:r>
              <w:rPr>
                <w:rStyle w:val="FootnoteReference"/>
                <w:rFonts w:cs="Arial"/>
                <w:sz w:val="20"/>
              </w:rPr>
              <w:footnoteReference w:id="3"/>
            </w:r>
            <w:bookmarkEnd w:id="2"/>
          </w:p>
        </w:tc>
        <w:tc>
          <w:tcPr>
            <w:tcW w:w="283" w:type="dxa"/>
          </w:tcPr>
          <w:p w:rsidR="006C18BE" w:rsidRDefault="006C18BE" w:rsidP="007D2FD7">
            <w:pPr>
              <w:rPr>
                <w:lang w:val="en-GB"/>
              </w:rPr>
            </w:pPr>
            <w:r>
              <w:rPr>
                <w:lang w:val="en-GB"/>
              </w:rPr>
              <w:t>:</w:t>
            </w:r>
          </w:p>
        </w:tc>
        <w:tc>
          <w:tcPr>
            <w:tcW w:w="426" w:type="dxa"/>
          </w:tcPr>
          <w:p w:rsidR="006C18BE" w:rsidRDefault="006C18BE" w:rsidP="007D2FD7">
            <w:pPr>
              <w:rPr>
                <w:lang w:val="en-GB"/>
              </w:rPr>
            </w:pPr>
          </w:p>
        </w:tc>
        <w:tc>
          <w:tcPr>
            <w:tcW w:w="6378" w:type="dxa"/>
            <w:tcBorders>
              <w:bottom w:val="single" w:sz="4" w:space="0" w:color="auto"/>
            </w:tcBorders>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Borders>
              <w:top w:val="single" w:sz="4" w:space="0" w:color="auto"/>
            </w:tcBorders>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r w:rsidRPr="001D3B64">
              <w:rPr>
                <w:rFonts w:cs="Arial"/>
                <w:sz w:val="20"/>
              </w:rPr>
              <w:t>Signature</w:t>
            </w:r>
          </w:p>
        </w:tc>
        <w:tc>
          <w:tcPr>
            <w:tcW w:w="283" w:type="dxa"/>
          </w:tcPr>
          <w:p w:rsidR="006C18BE" w:rsidRDefault="006C18BE" w:rsidP="007D2FD7">
            <w:pPr>
              <w:rPr>
                <w:lang w:val="en-GB"/>
              </w:rPr>
            </w:pPr>
            <w:r>
              <w:rPr>
                <w:lang w:val="en-GB"/>
              </w:rPr>
              <w:t>:</w:t>
            </w:r>
          </w:p>
        </w:tc>
        <w:tc>
          <w:tcPr>
            <w:tcW w:w="426" w:type="dxa"/>
          </w:tcPr>
          <w:p w:rsidR="006C18BE" w:rsidRDefault="006C18BE" w:rsidP="007D2FD7">
            <w:pPr>
              <w:rPr>
                <w:lang w:val="en-GB"/>
              </w:rPr>
            </w:pPr>
          </w:p>
        </w:tc>
        <w:tc>
          <w:tcPr>
            <w:tcW w:w="6378" w:type="dxa"/>
            <w:tcBorders>
              <w:bottom w:val="single" w:sz="4" w:space="0" w:color="auto"/>
            </w:tcBorders>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Borders>
              <w:top w:val="single" w:sz="4" w:space="0" w:color="auto"/>
            </w:tcBorders>
          </w:tcPr>
          <w:p w:rsidR="006C18BE" w:rsidRDefault="006C18BE" w:rsidP="007D2FD7">
            <w:pPr>
              <w:rPr>
                <w:rFonts w:cs="Arial"/>
                <w:i/>
                <w:sz w:val="20"/>
              </w:rPr>
            </w:pPr>
            <w:r>
              <w:rPr>
                <w:rFonts w:cs="Arial"/>
                <w:i/>
                <w:sz w:val="20"/>
              </w:rPr>
              <w:t>(Insert name of the Responsible Officer (in respect of Type 9 Regulated Activity) of SFC-licensed management company</w:t>
            </w:r>
            <w:r w:rsidRPr="001C22BF">
              <w:rPr>
                <w:rFonts w:cs="Arial"/>
                <w:i/>
                <w:sz w:val="20"/>
                <w:vertAlign w:val="superscript"/>
              </w:rPr>
              <w:fldChar w:fldCharType="begin"/>
            </w:r>
            <w:r w:rsidRPr="001C22BF">
              <w:rPr>
                <w:rFonts w:cs="Arial"/>
                <w:i/>
                <w:sz w:val="20"/>
                <w:vertAlign w:val="superscript"/>
              </w:rPr>
              <w:instrText xml:space="preserve"> NOTEREF _Ref530748868 \h </w:instrText>
            </w:r>
            <w:r>
              <w:rPr>
                <w:rFonts w:cs="Arial"/>
                <w:i/>
                <w:sz w:val="20"/>
                <w:vertAlign w:val="superscript"/>
              </w:rPr>
              <w:instrText xml:space="preserve"> \* MERGEFORMAT </w:instrText>
            </w:r>
            <w:r w:rsidRPr="001C22BF">
              <w:rPr>
                <w:rFonts w:cs="Arial"/>
                <w:i/>
                <w:sz w:val="20"/>
                <w:vertAlign w:val="superscript"/>
              </w:rPr>
            </w:r>
            <w:r w:rsidRPr="001C22BF">
              <w:rPr>
                <w:rFonts w:cs="Arial"/>
                <w:i/>
                <w:sz w:val="20"/>
                <w:vertAlign w:val="superscript"/>
              </w:rPr>
              <w:fldChar w:fldCharType="separate"/>
            </w:r>
            <w:r w:rsidR="003016FA">
              <w:rPr>
                <w:rFonts w:cs="Arial"/>
                <w:i/>
                <w:sz w:val="20"/>
                <w:vertAlign w:val="superscript"/>
              </w:rPr>
              <w:t>3</w:t>
            </w:r>
            <w:r w:rsidRPr="001C22BF">
              <w:rPr>
                <w:rFonts w:cs="Arial"/>
                <w:i/>
                <w:sz w:val="20"/>
                <w:vertAlign w:val="superscript"/>
              </w:rPr>
              <w:fldChar w:fldCharType="end"/>
            </w:r>
            <w:r>
              <w:rPr>
                <w:rFonts w:cs="Arial"/>
                <w:i/>
                <w:sz w:val="20"/>
              </w:rPr>
              <w:t xml:space="preserve"> or at least one executive director (or above)</w:t>
            </w:r>
            <w:r>
              <w:rPr>
                <w:rStyle w:val="FootnoteReference"/>
                <w:rFonts w:cs="Arial"/>
                <w:i/>
                <w:sz w:val="20"/>
              </w:rPr>
              <w:footnoteReference w:id="4"/>
            </w:r>
            <w:r>
              <w:rPr>
                <w:rFonts w:cs="Arial"/>
                <w:i/>
                <w:sz w:val="20"/>
              </w:rPr>
              <w:t xml:space="preserve"> of the management company</w:t>
            </w:r>
            <w:r w:rsidRPr="001C22BF">
              <w:rPr>
                <w:rFonts w:cs="Arial"/>
                <w:i/>
                <w:sz w:val="20"/>
                <w:vertAlign w:val="superscript"/>
              </w:rPr>
              <w:fldChar w:fldCharType="begin"/>
            </w:r>
            <w:r w:rsidRPr="001C22BF">
              <w:rPr>
                <w:rFonts w:cs="Arial"/>
                <w:i/>
                <w:sz w:val="20"/>
                <w:vertAlign w:val="superscript"/>
              </w:rPr>
              <w:instrText xml:space="preserve"> NOTEREF _Ref530748868 \h </w:instrText>
            </w:r>
            <w:r>
              <w:rPr>
                <w:rFonts w:cs="Arial"/>
                <w:i/>
                <w:sz w:val="20"/>
                <w:vertAlign w:val="superscript"/>
              </w:rPr>
              <w:instrText xml:space="preserve"> \* MERGEFORMAT </w:instrText>
            </w:r>
            <w:r w:rsidRPr="001C22BF">
              <w:rPr>
                <w:rFonts w:cs="Arial"/>
                <w:i/>
                <w:sz w:val="20"/>
                <w:vertAlign w:val="superscript"/>
              </w:rPr>
            </w:r>
            <w:r w:rsidRPr="001C22BF">
              <w:rPr>
                <w:rFonts w:cs="Arial"/>
                <w:i/>
                <w:sz w:val="20"/>
                <w:vertAlign w:val="superscript"/>
              </w:rPr>
              <w:fldChar w:fldCharType="separate"/>
            </w:r>
            <w:r w:rsidR="003016FA">
              <w:rPr>
                <w:rFonts w:cs="Arial"/>
                <w:i/>
                <w:sz w:val="20"/>
                <w:vertAlign w:val="superscript"/>
              </w:rPr>
              <w:t>3</w:t>
            </w:r>
            <w:r w:rsidRPr="001C22BF">
              <w:rPr>
                <w:rFonts w:cs="Arial"/>
                <w:i/>
                <w:sz w:val="20"/>
                <w:vertAlign w:val="superscript"/>
              </w:rPr>
              <w:fldChar w:fldCharType="end"/>
            </w:r>
            <w:r>
              <w:rPr>
                <w:rFonts w:cs="Arial"/>
                <w:i/>
                <w:sz w:val="20"/>
              </w:rPr>
              <w:t>)</w:t>
            </w: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r>
              <w:rPr>
                <w:rFonts w:cs="Arial"/>
                <w:sz w:val="20"/>
              </w:rPr>
              <w:t xml:space="preserve">Title / </w:t>
            </w:r>
            <w:r w:rsidRPr="001D3B64">
              <w:rPr>
                <w:rFonts w:cs="Arial"/>
                <w:sz w:val="20"/>
              </w:rPr>
              <w:t>Position</w:t>
            </w:r>
          </w:p>
        </w:tc>
        <w:tc>
          <w:tcPr>
            <w:tcW w:w="283" w:type="dxa"/>
          </w:tcPr>
          <w:p w:rsidR="006C18BE" w:rsidRDefault="006C18BE" w:rsidP="007D2FD7">
            <w:pPr>
              <w:rPr>
                <w:lang w:val="en-GB"/>
              </w:rPr>
            </w:pPr>
            <w:r>
              <w:rPr>
                <w:lang w:val="en-GB"/>
              </w:rPr>
              <w:t>:</w:t>
            </w:r>
          </w:p>
        </w:tc>
        <w:tc>
          <w:tcPr>
            <w:tcW w:w="426" w:type="dxa"/>
          </w:tcPr>
          <w:p w:rsidR="006C18BE" w:rsidRDefault="006C18BE" w:rsidP="007D2FD7">
            <w:pPr>
              <w:rPr>
                <w:lang w:val="en-GB"/>
              </w:rPr>
            </w:pPr>
          </w:p>
        </w:tc>
        <w:tc>
          <w:tcPr>
            <w:tcW w:w="6378" w:type="dxa"/>
            <w:tcBorders>
              <w:bottom w:val="single" w:sz="4" w:space="0" w:color="auto"/>
            </w:tcBorders>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Borders>
              <w:top w:val="single" w:sz="4" w:space="0" w:color="auto"/>
            </w:tcBorders>
          </w:tcPr>
          <w:p w:rsidR="006C18BE" w:rsidRDefault="006C18BE" w:rsidP="007D2FD7">
            <w:pPr>
              <w:rPr>
                <w:rFonts w:cs="Arial"/>
                <w:i/>
                <w:sz w:val="20"/>
              </w:rPr>
            </w:pPr>
          </w:p>
        </w:tc>
      </w:tr>
      <w:tr w:rsidR="006C18BE" w:rsidTr="007D2FD7">
        <w:tc>
          <w:tcPr>
            <w:tcW w:w="2660" w:type="dxa"/>
          </w:tcPr>
          <w:p w:rsidR="006C18BE" w:rsidRDefault="006C18BE" w:rsidP="007D2FD7">
            <w:pPr>
              <w:rPr>
                <w:lang w:val="en-GB"/>
              </w:rPr>
            </w:pPr>
          </w:p>
        </w:tc>
        <w:tc>
          <w:tcPr>
            <w:tcW w:w="283" w:type="dxa"/>
          </w:tcPr>
          <w:p w:rsidR="006C18BE" w:rsidRDefault="006C18BE" w:rsidP="007D2FD7">
            <w:pPr>
              <w:rPr>
                <w:lang w:val="en-GB"/>
              </w:rPr>
            </w:pPr>
          </w:p>
        </w:tc>
        <w:tc>
          <w:tcPr>
            <w:tcW w:w="426" w:type="dxa"/>
          </w:tcPr>
          <w:p w:rsidR="006C18BE" w:rsidRDefault="006C18BE" w:rsidP="007D2FD7">
            <w:pPr>
              <w:rPr>
                <w:lang w:val="en-GB"/>
              </w:rPr>
            </w:pPr>
          </w:p>
        </w:tc>
        <w:tc>
          <w:tcPr>
            <w:tcW w:w="6378" w:type="dxa"/>
          </w:tcPr>
          <w:p w:rsidR="006C18BE" w:rsidRDefault="006C18BE" w:rsidP="007D2FD7">
            <w:pPr>
              <w:rPr>
                <w:rFonts w:cs="Arial"/>
                <w:i/>
                <w:sz w:val="20"/>
              </w:rPr>
            </w:pPr>
          </w:p>
        </w:tc>
      </w:tr>
    </w:tbl>
    <w:p w:rsidR="00AA5F3D" w:rsidRDefault="00AA5F3D" w:rsidP="00CB4201">
      <w:pPr>
        <w:rPr>
          <w:lang w:val="en-GB"/>
        </w:rPr>
      </w:pPr>
    </w:p>
    <w:sectPr w:rsidR="00AA5F3D" w:rsidSect="0013010B">
      <w:headerReference w:type="default" r:id="rId8"/>
      <w:footerReference w:type="default" r:id="rId9"/>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DF" w:rsidRDefault="00967CDF" w:rsidP="00AA5F3D">
      <w:pPr>
        <w:spacing w:line="240" w:lineRule="auto"/>
      </w:pPr>
      <w:r>
        <w:separator/>
      </w:r>
    </w:p>
  </w:endnote>
  <w:endnote w:type="continuationSeparator" w:id="0">
    <w:p w:rsidR="00967CDF" w:rsidRDefault="00967CDF" w:rsidP="00AA5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81079"/>
      <w:docPartObj>
        <w:docPartGallery w:val="Page Numbers (Bottom of Page)"/>
        <w:docPartUnique/>
      </w:docPartObj>
    </w:sdtPr>
    <w:sdtEndPr>
      <w:rPr>
        <w:noProof/>
      </w:rPr>
    </w:sdtEndPr>
    <w:sdtContent>
      <w:p w:rsidR="00CA39F4" w:rsidRDefault="00CA39F4">
        <w:pPr>
          <w:pStyle w:val="Footer"/>
          <w:jc w:val="right"/>
        </w:pPr>
        <w:r>
          <w:fldChar w:fldCharType="begin"/>
        </w:r>
        <w:r>
          <w:instrText xml:space="preserve"> PAGE   \* MERGEFORMAT </w:instrText>
        </w:r>
        <w:r>
          <w:fldChar w:fldCharType="separate"/>
        </w:r>
        <w:r w:rsidR="007904FA">
          <w:rPr>
            <w:noProof/>
          </w:rPr>
          <w:t>2</w:t>
        </w:r>
        <w:r>
          <w:rPr>
            <w:noProof/>
          </w:rPr>
          <w:fldChar w:fldCharType="end"/>
        </w:r>
      </w:p>
    </w:sdtContent>
  </w:sdt>
  <w:p w:rsidR="00CA39F4" w:rsidRPr="00457B26" w:rsidRDefault="005D068A">
    <w:pPr>
      <w:pStyle w:val="Footer"/>
      <w:rPr>
        <w:sz w:val="18"/>
        <w:szCs w:val="18"/>
      </w:rPr>
    </w:pPr>
    <w:r w:rsidRPr="007904FA">
      <w:rPr>
        <w:sz w:val="18"/>
        <w:szCs w:val="18"/>
      </w:rPr>
      <w:t>Last update</w:t>
    </w:r>
    <w:r w:rsidR="00457B26" w:rsidRPr="007904FA">
      <w:rPr>
        <w:sz w:val="18"/>
        <w:szCs w:val="18"/>
      </w:rPr>
      <w:t xml:space="preserve">: </w:t>
    </w:r>
    <w:r w:rsidR="00C27A07">
      <w:rPr>
        <w:sz w:val="18"/>
        <w:szCs w:val="18"/>
      </w:rPr>
      <w:t>28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DF" w:rsidRDefault="00967CDF" w:rsidP="00AA5F3D">
      <w:pPr>
        <w:spacing w:line="240" w:lineRule="auto"/>
      </w:pPr>
      <w:r>
        <w:separator/>
      </w:r>
    </w:p>
  </w:footnote>
  <w:footnote w:type="continuationSeparator" w:id="0">
    <w:p w:rsidR="00967CDF" w:rsidRDefault="00967CDF" w:rsidP="00AA5F3D">
      <w:pPr>
        <w:spacing w:line="240" w:lineRule="auto"/>
      </w:pPr>
      <w:r>
        <w:continuationSeparator/>
      </w:r>
    </w:p>
  </w:footnote>
  <w:footnote w:id="1">
    <w:p w:rsidR="004F188A" w:rsidRPr="004F188A" w:rsidRDefault="004F188A" w:rsidP="004F188A">
      <w:pPr>
        <w:pStyle w:val="FootnoteText"/>
        <w:tabs>
          <w:tab w:val="left" w:pos="284"/>
        </w:tabs>
        <w:spacing w:line="240" w:lineRule="exact"/>
        <w:ind w:left="284" w:hanging="284"/>
        <w:rPr>
          <w:sz w:val="18"/>
          <w:szCs w:val="18"/>
        </w:rPr>
      </w:pPr>
      <w:r>
        <w:rPr>
          <w:rStyle w:val="FootnoteReference"/>
        </w:rPr>
        <w:footnoteRef/>
      </w:r>
      <w:r>
        <w:t xml:space="preserve"> </w:t>
      </w:r>
      <w:r>
        <w:tab/>
      </w:r>
      <w:r w:rsidRPr="00D76F77">
        <w:rPr>
          <w:sz w:val="18"/>
          <w:szCs w:val="18"/>
        </w:rPr>
        <w:t xml:space="preserve">The term “net derivative exposure” shall have the meaning as defined in 7.26 of the Code on Unit Trusts and Mutual Funds </w:t>
      </w:r>
      <w:r w:rsidR="006C18BE">
        <w:rPr>
          <w:sz w:val="18"/>
          <w:szCs w:val="18"/>
        </w:rPr>
        <w:t xml:space="preserve">(i.e. UT Code) </w:t>
      </w:r>
      <w:r w:rsidRPr="00D76F77">
        <w:rPr>
          <w:sz w:val="18"/>
          <w:szCs w:val="18"/>
        </w:rPr>
        <w:t>effect</w:t>
      </w:r>
      <w:r w:rsidR="00111994">
        <w:rPr>
          <w:sz w:val="18"/>
          <w:szCs w:val="18"/>
        </w:rPr>
        <w:t>ive</w:t>
      </w:r>
      <w:r w:rsidRPr="00D76F77">
        <w:rPr>
          <w:sz w:val="18"/>
          <w:szCs w:val="18"/>
        </w:rPr>
        <w:t xml:space="preserve"> </w:t>
      </w:r>
      <w:r w:rsidR="003F3AC3">
        <w:rPr>
          <w:sz w:val="18"/>
          <w:szCs w:val="18"/>
        </w:rPr>
        <w:t>on</w:t>
      </w:r>
      <w:r w:rsidRPr="00D76F77">
        <w:rPr>
          <w:sz w:val="18"/>
          <w:szCs w:val="18"/>
        </w:rPr>
        <w:t xml:space="preserve"> 1 January</w:t>
      </w:r>
      <w:r w:rsidR="00111994">
        <w:rPr>
          <w:sz w:val="18"/>
          <w:szCs w:val="18"/>
        </w:rPr>
        <w:t xml:space="preserve"> 2019</w:t>
      </w:r>
      <w:r w:rsidRPr="00D76F77">
        <w:rPr>
          <w:sz w:val="18"/>
          <w:szCs w:val="18"/>
        </w:rPr>
        <w:t>.</w:t>
      </w:r>
    </w:p>
  </w:footnote>
  <w:footnote w:id="2">
    <w:p w:rsidR="00763EAB" w:rsidRDefault="00763EAB" w:rsidP="00763EAB">
      <w:pPr>
        <w:pStyle w:val="FootnoteText"/>
        <w:tabs>
          <w:tab w:val="left" w:pos="284"/>
        </w:tabs>
        <w:spacing w:line="240" w:lineRule="exact"/>
        <w:ind w:left="284" w:hanging="284"/>
        <w:rPr>
          <w:sz w:val="18"/>
          <w:szCs w:val="18"/>
        </w:rPr>
      </w:pPr>
      <w:r>
        <w:rPr>
          <w:rStyle w:val="FootnoteReference"/>
        </w:rPr>
        <w:footnoteRef/>
      </w:r>
      <w:r>
        <w:t xml:space="preserve"> </w:t>
      </w:r>
      <w:r>
        <w:tab/>
      </w:r>
      <w:r w:rsidRPr="00507D85">
        <w:rPr>
          <w:sz w:val="18"/>
          <w:szCs w:val="18"/>
        </w:rPr>
        <w:t xml:space="preserve">The term “derivative fund(s)” </w:t>
      </w:r>
      <w:r w:rsidR="00321716">
        <w:rPr>
          <w:sz w:val="18"/>
          <w:szCs w:val="18"/>
        </w:rPr>
        <w:t xml:space="preserve">in this confirmation </w:t>
      </w:r>
      <w:r w:rsidRPr="00507D85">
        <w:rPr>
          <w:sz w:val="18"/>
          <w:szCs w:val="18"/>
        </w:rPr>
        <w:t xml:space="preserve">refers to unit trusts and mutual funds with a net derivative exposure </w:t>
      </w:r>
      <w:r w:rsidR="00352CF2">
        <w:rPr>
          <w:sz w:val="18"/>
          <w:szCs w:val="18"/>
        </w:rPr>
        <w:t>of more than 50% of it</w:t>
      </w:r>
      <w:r w:rsidR="003F3AC3">
        <w:rPr>
          <w:sz w:val="18"/>
          <w:szCs w:val="18"/>
        </w:rPr>
        <w:t>s</w:t>
      </w:r>
      <w:r w:rsidR="00352CF2">
        <w:rPr>
          <w:sz w:val="18"/>
          <w:szCs w:val="18"/>
        </w:rPr>
        <w:t>/their</w:t>
      </w:r>
      <w:r w:rsidRPr="00507D85">
        <w:rPr>
          <w:sz w:val="18"/>
          <w:szCs w:val="18"/>
        </w:rPr>
        <w:t xml:space="preserve"> </w:t>
      </w:r>
      <w:r w:rsidR="00BB254E">
        <w:rPr>
          <w:sz w:val="18"/>
          <w:szCs w:val="18"/>
        </w:rPr>
        <w:t xml:space="preserve">respective </w:t>
      </w:r>
      <w:r w:rsidRPr="00507D85">
        <w:rPr>
          <w:sz w:val="18"/>
          <w:szCs w:val="18"/>
        </w:rPr>
        <w:t>net asset value</w:t>
      </w:r>
      <w:r w:rsidR="00BB254E">
        <w:rPr>
          <w:sz w:val="18"/>
          <w:szCs w:val="18"/>
        </w:rPr>
        <w:t>(s)</w:t>
      </w:r>
      <w:r w:rsidRPr="00507D85">
        <w:rPr>
          <w:sz w:val="18"/>
          <w:szCs w:val="18"/>
        </w:rPr>
        <w:t xml:space="preserve">. </w:t>
      </w:r>
    </w:p>
    <w:p w:rsidR="00763EAB" w:rsidRPr="00507D85" w:rsidRDefault="00763EAB" w:rsidP="00763EAB">
      <w:pPr>
        <w:pStyle w:val="FootnoteText"/>
        <w:tabs>
          <w:tab w:val="left" w:pos="284"/>
        </w:tabs>
        <w:spacing w:line="240" w:lineRule="exact"/>
        <w:ind w:left="284" w:hanging="284"/>
        <w:rPr>
          <w:sz w:val="18"/>
          <w:szCs w:val="18"/>
        </w:rPr>
      </w:pPr>
    </w:p>
  </w:footnote>
  <w:footnote w:id="3">
    <w:p w:rsidR="006C18BE" w:rsidRDefault="006C18BE" w:rsidP="006C18BE">
      <w:pPr>
        <w:pStyle w:val="FootnoteText"/>
        <w:spacing w:line="0" w:lineRule="atLeast"/>
        <w:ind w:left="284" w:hanging="284"/>
        <w:rPr>
          <w:sz w:val="18"/>
          <w:szCs w:val="18"/>
        </w:rPr>
      </w:pPr>
      <w:r>
        <w:rPr>
          <w:rStyle w:val="FootnoteReference"/>
        </w:rPr>
        <w:footnoteRef/>
      </w:r>
      <w:r>
        <w:t xml:space="preserve"> </w:t>
      </w:r>
      <w:r>
        <w:tab/>
      </w:r>
      <w:r w:rsidRPr="00C43DF4">
        <w:rPr>
          <w:sz w:val="18"/>
          <w:szCs w:val="18"/>
        </w:rPr>
        <w:t xml:space="preserve">For self-managed schemes, </w:t>
      </w:r>
      <w:r>
        <w:rPr>
          <w:sz w:val="18"/>
          <w:szCs w:val="18"/>
        </w:rPr>
        <w:t>references to</w:t>
      </w:r>
      <w:r w:rsidRPr="00C43DF4">
        <w:rPr>
          <w:sz w:val="18"/>
          <w:szCs w:val="18"/>
        </w:rPr>
        <w:t xml:space="preserve"> the management company </w:t>
      </w:r>
      <w:r>
        <w:rPr>
          <w:sz w:val="18"/>
          <w:szCs w:val="18"/>
        </w:rPr>
        <w:t>are deemed to be reference</w:t>
      </w:r>
      <w:r w:rsidR="00FB58E6">
        <w:rPr>
          <w:sz w:val="18"/>
          <w:szCs w:val="18"/>
        </w:rPr>
        <w:t>s</w:t>
      </w:r>
      <w:r>
        <w:rPr>
          <w:sz w:val="18"/>
          <w:szCs w:val="18"/>
        </w:rPr>
        <w:t xml:space="preserve"> to the</w:t>
      </w:r>
      <w:r w:rsidRPr="00C43DF4">
        <w:rPr>
          <w:sz w:val="18"/>
          <w:szCs w:val="18"/>
        </w:rPr>
        <w:t xml:space="preserve"> investment delegate of the Scheme(s).</w:t>
      </w:r>
    </w:p>
    <w:p w:rsidR="006C18BE" w:rsidRPr="00C43DF4" w:rsidRDefault="006C18BE" w:rsidP="006C18BE">
      <w:pPr>
        <w:pStyle w:val="FootnoteText"/>
        <w:spacing w:line="0" w:lineRule="atLeast"/>
        <w:ind w:left="284" w:hanging="284"/>
        <w:rPr>
          <w:sz w:val="18"/>
          <w:szCs w:val="18"/>
        </w:rPr>
      </w:pPr>
    </w:p>
  </w:footnote>
  <w:footnote w:id="4">
    <w:p w:rsidR="006C18BE" w:rsidRPr="005F33DA" w:rsidRDefault="006C18BE" w:rsidP="006C18BE">
      <w:pPr>
        <w:pStyle w:val="FootnoteText"/>
        <w:spacing w:line="0" w:lineRule="atLeast"/>
        <w:ind w:left="284" w:hanging="284"/>
        <w:rPr>
          <w:lang w:eastAsia="zh-TW"/>
        </w:rPr>
      </w:pPr>
      <w:r>
        <w:rPr>
          <w:rStyle w:val="FootnoteReference"/>
        </w:rPr>
        <w:footnoteRef/>
      </w:r>
      <w:r w:rsidRPr="008B7019">
        <w:rPr>
          <w:rStyle w:val="FootnoteReference"/>
        </w:rPr>
        <w:t xml:space="preserve"> </w:t>
      </w:r>
      <w:r>
        <w:tab/>
      </w:r>
      <w:r w:rsidRPr="00C03281">
        <w:rPr>
          <w:sz w:val="18"/>
          <w:szCs w:val="18"/>
        </w:rPr>
        <w:t xml:space="preserve">Equivalents include, for example, CEO, managing director, etc. Essentially, the signatory is expected to be a senior-ranking </w:t>
      </w:r>
      <w:r w:rsidRPr="008A168C">
        <w:rPr>
          <w:sz w:val="18"/>
          <w:szCs w:val="18"/>
        </w:rPr>
        <w:t>executive</w:t>
      </w:r>
      <w:r w:rsidRPr="00C03281">
        <w:rPr>
          <w:sz w:val="18"/>
          <w:szCs w:val="18"/>
        </w:rPr>
        <w:t xml:space="preserve"> with overall responsibility </w:t>
      </w:r>
      <w:r>
        <w:rPr>
          <w:sz w:val="18"/>
          <w:szCs w:val="18"/>
        </w:rPr>
        <w:t>for the confirmation</w:t>
      </w:r>
      <w:r w:rsidRPr="00C0328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26" w:rsidRPr="007904FA" w:rsidRDefault="00457B26" w:rsidP="0079307E">
    <w:pPr>
      <w:pStyle w:val="Header"/>
      <w:jc w:val="right"/>
      <w:rPr>
        <w:i/>
        <w:lang w:val="en-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 w15:restartNumberingAfterBreak="0">
    <w:nsid w:val="4A444EA2"/>
    <w:multiLevelType w:val="hybridMultilevel"/>
    <w:tmpl w:val="1CFEB36C"/>
    <w:lvl w:ilvl="0" w:tplc="0DE66E20">
      <w:start w:val="2"/>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0AD4ED7"/>
    <w:multiLevelType w:val="hybridMultilevel"/>
    <w:tmpl w:val="36B08926"/>
    <w:lvl w:ilvl="0" w:tplc="643840C6">
      <w:numFmt w:val="bullet"/>
      <w:lvlText w:val="-"/>
      <w:lvlJc w:val="left"/>
      <w:pPr>
        <w:ind w:left="720" w:hanging="360"/>
      </w:pPr>
      <w:rPr>
        <w:rFonts w:ascii="Arial" w:eastAsia="新細明體"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325FC"/>
    <w:multiLevelType w:val="hybridMultilevel"/>
    <w:tmpl w:val="31A4A6B2"/>
    <w:lvl w:ilvl="0" w:tplc="A5B0EC14">
      <w:start w:val="1"/>
      <w:numFmt w:val="lowerLetter"/>
      <w:lvlText w:val="(%1)"/>
      <w:lvlJc w:val="left"/>
      <w:pPr>
        <w:ind w:left="1200" w:hanging="360"/>
      </w:pPr>
      <w:rPr>
        <w:rFonts w:hint="default"/>
        <w:i w:val="0"/>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 w15:restartNumberingAfterBreak="0">
    <w:nsid w:val="7B441FD2"/>
    <w:multiLevelType w:val="hybridMultilevel"/>
    <w:tmpl w:val="C50E5A90"/>
    <w:lvl w:ilvl="0" w:tplc="D48EE182">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C2D"/>
    <w:rsid w:val="00003AD6"/>
    <w:rsid w:val="00004EB8"/>
    <w:rsid w:val="00011C7B"/>
    <w:rsid w:val="00011DDC"/>
    <w:rsid w:val="00016163"/>
    <w:rsid w:val="00024A2A"/>
    <w:rsid w:val="00027AC0"/>
    <w:rsid w:val="000335EE"/>
    <w:rsid w:val="00035E40"/>
    <w:rsid w:val="00036793"/>
    <w:rsid w:val="00037E0B"/>
    <w:rsid w:val="000412AC"/>
    <w:rsid w:val="00050DB5"/>
    <w:rsid w:val="00052359"/>
    <w:rsid w:val="000543D9"/>
    <w:rsid w:val="000546B9"/>
    <w:rsid w:val="000570B9"/>
    <w:rsid w:val="00066290"/>
    <w:rsid w:val="0007484D"/>
    <w:rsid w:val="00074BAF"/>
    <w:rsid w:val="000822FF"/>
    <w:rsid w:val="00083DB6"/>
    <w:rsid w:val="00085DE9"/>
    <w:rsid w:val="000958D3"/>
    <w:rsid w:val="000962F6"/>
    <w:rsid w:val="000A4BAC"/>
    <w:rsid w:val="000B03EC"/>
    <w:rsid w:val="000B3C9F"/>
    <w:rsid w:val="000B51A9"/>
    <w:rsid w:val="000B696E"/>
    <w:rsid w:val="000B77F4"/>
    <w:rsid w:val="000C0ED7"/>
    <w:rsid w:val="000C238B"/>
    <w:rsid w:val="000C639D"/>
    <w:rsid w:val="000D1051"/>
    <w:rsid w:val="000D5C86"/>
    <w:rsid w:val="000D6CAC"/>
    <w:rsid w:val="000E4824"/>
    <w:rsid w:val="000F11A7"/>
    <w:rsid w:val="000F2B54"/>
    <w:rsid w:val="001012C9"/>
    <w:rsid w:val="00104DA0"/>
    <w:rsid w:val="00111994"/>
    <w:rsid w:val="001159D9"/>
    <w:rsid w:val="00116563"/>
    <w:rsid w:val="0012330C"/>
    <w:rsid w:val="00123F2B"/>
    <w:rsid w:val="001275FA"/>
    <w:rsid w:val="00127CCE"/>
    <w:rsid w:val="0013010B"/>
    <w:rsid w:val="00131C39"/>
    <w:rsid w:val="00134377"/>
    <w:rsid w:val="00134E69"/>
    <w:rsid w:val="0013603C"/>
    <w:rsid w:val="00140CE4"/>
    <w:rsid w:val="001413DC"/>
    <w:rsid w:val="00144841"/>
    <w:rsid w:val="001503C6"/>
    <w:rsid w:val="001525B4"/>
    <w:rsid w:val="00153486"/>
    <w:rsid w:val="00154532"/>
    <w:rsid w:val="00165CBF"/>
    <w:rsid w:val="00175F9C"/>
    <w:rsid w:val="001904AB"/>
    <w:rsid w:val="00190D52"/>
    <w:rsid w:val="0019194D"/>
    <w:rsid w:val="0019633E"/>
    <w:rsid w:val="001A1329"/>
    <w:rsid w:val="001A2AD1"/>
    <w:rsid w:val="001A68A1"/>
    <w:rsid w:val="001A70BB"/>
    <w:rsid w:val="001B4155"/>
    <w:rsid w:val="001C15DF"/>
    <w:rsid w:val="001C213D"/>
    <w:rsid w:val="001C26D7"/>
    <w:rsid w:val="001C41F3"/>
    <w:rsid w:val="001D1547"/>
    <w:rsid w:val="001D279F"/>
    <w:rsid w:val="001D5D0C"/>
    <w:rsid w:val="001E3ACD"/>
    <w:rsid w:val="001E5F5B"/>
    <w:rsid w:val="001F2502"/>
    <w:rsid w:val="001F30C8"/>
    <w:rsid w:val="001F3D8B"/>
    <w:rsid w:val="001F7A49"/>
    <w:rsid w:val="001F7CAF"/>
    <w:rsid w:val="0020089C"/>
    <w:rsid w:val="00206CCD"/>
    <w:rsid w:val="00215B90"/>
    <w:rsid w:val="00217401"/>
    <w:rsid w:val="00220044"/>
    <w:rsid w:val="002243C2"/>
    <w:rsid w:val="00224512"/>
    <w:rsid w:val="002267A6"/>
    <w:rsid w:val="00226B54"/>
    <w:rsid w:val="00240CC8"/>
    <w:rsid w:val="002429CF"/>
    <w:rsid w:val="00254762"/>
    <w:rsid w:val="00262329"/>
    <w:rsid w:val="002646BE"/>
    <w:rsid w:val="002659AA"/>
    <w:rsid w:val="002724F4"/>
    <w:rsid w:val="002773AC"/>
    <w:rsid w:val="002815E9"/>
    <w:rsid w:val="00287665"/>
    <w:rsid w:val="00290DD3"/>
    <w:rsid w:val="00291147"/>
    <w:rsid w:val="00294C25"/>
    <w:rsid w:val="00296F10"/>
    <w:rsid w:val="002A7221"/>
    <w:rsid w:val="002B4457"/>
    <w:rsid w:val="002C13AC"/>
    <w:rsid w:val="002C3302"/>
    <w:rsid w:val="002C6FC8"/>
    <w:rsid w:val="002D0A95"/>
    <w:rsid w:val="002D72FD"/>
    <w:rsid w:val="002E1EB1"/>
    <w:rsid w:val="002E29B1"/>
    <w:rsid w:val="002F6B37"/>
    <w:rsid w:val="00300B51"/>
    <w:rsid w:val="003016FA"/>
    <w:rsid w:val="003049ED"/>
    <w:rsid w:val="00307F85"/>
    <w:rsid w:val="00310289"/>
    <w:rsid w:val="00310DD7"/>
    <w:rsid w:val="003115F4"/>
    <w:rsid w:val="00315E67"/>
    <w:rsid w:val="00321716"/>
    <w:rsid w:val="00321C31"/>
    <w:rsid w:val="0033023E"/>
    <w:rsid w:val="00333758"/>
    <w:rsid w:val="00346897"/>
    <w:rsid w:val="003516B6"/>
    <w:rsid w:val="00352CF2"/>
    <w:rsid w:val="0035326F"/>
    <w:rsid w:val="00354E38"/>
    <w:rsid w:val="0035662C"/>
    <w:rsid w:val="0036087D"/>
    <w:rsid w:val="00362E91"/>
    <w:rsid w:val="00366946"/>
    <w:rsid w:val="00370B14"/>
    <w:rsid w:val="00373FDB"/>
    <w:rsid w:val="003754C0"/>
    <w:rsid w:val="0037749B"/>
    <w:rsid w:val="00382A48"/>
    <w:rsid w:val="00390708"/>
    <w:rsid w:val="003908C8"/>
    <w:rsid w:val="0039317B"/>
    <w:rsid w:val="00393234"/>
    <w:rsid w:val="00395207"/>
    <w:rsid w:val="003963B2"/>
    <w:rsid w:val="003B0F11"/>
    <w:rsid w:val="003B7449"/>
    <w:rsid w:val="003C3D6F"/>
    <w:rsid w:val="003D5C47"/>
    <w:rsid w:val="003D62C2"/>
    <w:rsid w:val="003D7981"/>
    <w:rsid w:val="003E6AE8"/>
    <w:rsid w:val="003F3AC3"/>
    <w:rsid w:val="003F55EC"/>
    <w:rsid w:val="003F78AF"/>
    <w:rsid w:val="004031A8"/>
    <w:rsid w:val="00403EDD"/>
    <w:rsid w:val="0040622C"/>
    <w:rsid w:val="00412179"/>
    <w:rsid w:val="00420A70"/>
    <w:rsid w:val="00424690"/>
    <w:rsid w:val="0042680D"/>
    <w:rsid w:val="00436C0B"/>
    <w:rsid w:val="0044730C"/>
    <w:rsid w:val="004479D9"/>
    <w:rsid w:val="0045197C"/>
    <w:rsid w:val="00456631"/>
    <w:rsid w:val="00457B26"/>
    <w:rsid w:val="0046513D"/>
    <w:rsid w:val="00470BEC"/>
    <w:rsid w:val="00476BD1"/>
    <w:rsid w:val="00476FAC"/>
    <w:rsid w:val="00480C5C"/>
    <w:rsid w:val="004833D3"/>
    <w:rsid w:val="00484453"/>
    <w:rsid w:val="00484E3B"/>
    <w:rsid w:val="00492F52"/>
    <w:rsid w:val="004A3B7D"/>
    <w:rsid w:val="004A512E"/>
    <w:rsid w:val="004A7018"/>
    <w:rsid w:val="004D075A"/>
    <w:rsid w:val="004D5E4F"/>
    <w:rsid w:val="004E065C"/>
    <w:rsid w:val="004E335A"/>
    <w:rsid w:val="004E6936"/>
    <w:rsid w:val="004F188A"/>
    <w:rsid w:val="004F4B07"/>
    <w:rsid w:val="00503A47"/>
    <w:rsid w:val="0050769C"/>
    <w:rsid w:val="0051388B"/>
    <w:rsid w:val="005140DF"/>
    <w:rsid w:val="00514FCF"/>
    <w:rsid w:val="00516E5E"/>
    <w:rsid w:val="005225D9"/>
    <w:rsid w:val="00522882"/>
    <w:rsid w:val="00527BD4"/>
    <w:rsid w:val="0054138B"/>
    <w:rsid w:val="00541509"/>
    <w:rsid w:val="0054267A"/>
    <w:rsid w:val="0056512B"/>
    <w:rsid w:val="00565F34"/>
    <w:rsid w:val="005706E2"/>
    <w:rsid w:val="005714E8"/>
    <w:rsid w:val="005733CD"/>
    <w:rsid w:val="005819E2"/>
    <w:rsid w:val="00585B45"/>
    <w:rsid w:val="0058631C"/>
    <w:rsid w:val="00593E3E"/>
    <w:rsid w:val="005A4F94"/>
    <w:rsid w:val="005B1F56"/>
    <w:rsid w:val="005B3B35"/>
    <w:rsid w:val="005B7867"/>
    <w:rsid w:val="005C61B9"/>
    <w:rsid w:val="005C7C67"/>
    <w:rsid w:val="005D068A"/>
    <w:rsid w:val="005D2A5F"/>
    <w:rsid w:val="005D3233"/>
    <w:rsid w:val="005D327D"/>
    <w:rsid w:val="005D54D4"/>
    <w:rsid w:val="005D686F"/>
    <w:rsid w:val="005E60B1"/>
    <w:rsid w:val="005E6272"/>
    <w:rsid w:val="005F60C8"/>
    <w:rsid w:val="0060115B"/>
    <w:rsid w:val="006039CF"/>
    <w:rsid w:val="00604FDA"/>
    <w:rsid w:val="00633426"/>
    <w:rsid w:val="00637951"/>
    <w:rsid w:val="00640B6D"/>
    <w:rsid w:val="00646BF0"/>
    <w:rsid w:val="0065061F"/>
    <w:rsid w:val="00661001"/>
    <w:rsid w:val="00664D6E"/>
    <w:rsid w:val="00666BF2"/>
    <w:rsid w:val="0067157C"/>
    <w:rsid w:val="0067193A"/>
    <w:rsid w:val="00683CAE"/>
    <w:rsid w:val="006877DD"/>
    <w:rsid w:val="006947AD"/>
    <w:rsid w:val="006977BE"/>
    <w:rsid w:val="006A18A6"/>
    <w:rsid w:val="006A18D9"/>
    <w:rsid w:val="006A3549"/>
    <w:rsid w:val="006C18BE"/>
    <w:rsid w:val="006C3B6F"/>
    <w:rsid w:val="006C4956"/>
    <w:rsid w:val="006C7C34"/>
    <w:rsid w:val="006D0944"/>
    <w:rsid w:val="006E1BB8"/>
    <w:rsid w:val="006F42A5"/>
    <w:rsid w:val="006F44D5"/>
    <w:rsid w:val="006F6CCF"/>
    <w:rsid w:val="006F7001"/>
    <w:rsid w:val="006F702D"/>
    <w:rsid w:val="0070579D"/>
    <w:rsid w:val="007073C2"/>
    <w:rsid w:val="0071153D"/>
    <w:rsid w:val="007136D8"/>
    <w:rsid w:val="007156D2"/>
    <w:rsid w:val="00717539"/>
    <w:rsid w:val="00726F32"/>
    <w:rsid w:val="007328CC"/>
    <w:rsid w:val="0073557B"/>
    <w:rsid w:val="007378E6"/>
    <w:rsid w:val="00740055"/>
    <w:rsid w:val="007406A4"/>
    <w:rsid w:val="00742CC4"/>
    <w:rsid w:val="007436E6"/>
    <w:rsid w:val="00745AC6"/>
    <w:rsid w:val="00756682"/>
    <w:rsid w:val="00763EAB"/>
    <w:rsid w:val="00766A5C"/>
    <w:rsid w:val="00770C68"/>
    <w:rsid w:val="007801AB"/>
    <w:rsid w:val="00782F78"/>
    <w:rsid w:val="007831EB"/>
    <w:rsid w:val="00785A1D"/>
    <w:rsid w:val="007904FA"/>
    <w:rsid w:val="007908C4"/>
    <w:rsid w:val="0079307E"/>
    <w:rsid w:val="00793DBE"/>
    <w:rsid w:val="007A0AB5"/>
    <w:rsid w:val="007A3681"/>
    <w:rsid w:val="007A5AF4"/>
    <w:rsid w:val="007B1AB5"/>
    <w:rsid w:val="007B48B3"/>
    <w:rsid w:val="007C166A"/>
    <w:rsid w:val="007C1DB3"/>
    <w:rsid w:val="007C3177"/>
    <w:rsid w:val="007D0014"/>
    <w:rsid w:val="007D0592"/>
    <w:rsid w:val="007D0C1C"/>
    <w:rsid w:val="007D1E26"/>
    <w:rsid w:val="007D2812"/>
    <w:rsid w:val="007D3F4F"/>
    <w:rsid w:val="007D5F80"/>
    <w:rsid w:val="007E2EDB"/>
    <w:rsid w:val="007E5F86"/>
    <w:rsid w:val="007E66F2"/>
    <w:rsid w:val="007F08BC"/>
    <w:rsid w:val="007F414D"/>
    <w:rsid w:val="00804293"/>
    <w:rsid w:val="0080712A"/>
    <w:rsid w:val="008071D1"/>
    <w:rsid w:val="008105B8"/>
    <w:rsid w:val="008109A0"/>
    <w:rsid w:val="00817439"/>
    <w:rsid w:val="008358DA"/>
    <w:rsid w:val="00843A21"/>
    <w:rsid w:val="008444F2"/>
    <w:rsid w:val="008444FE"/>
    <w:rsid w:val="0084485B"/>
    <w:rsid w:val="00844C8D"/>
    <w:rsid w:val="008463F1"/>
    <w:rsid w:val="008536DF"/>
    <w:rsid w:val="008556A6"/>
    <w:rsid w:val="00863245"/>
    <w:rsid w:val="00867FE3"/>
    <w:rsid w:val="00871C62"/>
    <w:rsid w:val="00871CAF"/>
    <w:rsid w:val="00882DB1"/>
    <w:rsid w:val="00886377"/>
    <w:rsid w:val="008910CF"/>
    <w:rsid w:val="00894B14"/>
    <w:rsid w:val="00894D04"/>
    <w:rsid w:val="008A6153"/>
    <w:rsid w:val="008B43C8"/>
    <w:rsid w:val="008B7420"/>
    <w:rsid w:val="008B7D11"/>
    <w:rsid w:val="008C03BF"/>
    <w:rsid w:val="008C087E"/>
    <w:rsid w:val="008C18FA"/>
    <w:rsid w:val="008C2722"/>
    <w:rsid w:val="008C4A3D"/>
    <w:rsid w:val="008D1B8E"/>
    <w:rsid w:val="008D1F82"/>
    <w:rsid w:val="008E085E"/>
    <w:rsid w:val="008E1171"/>
    <w:rsid w:val="008E30FC"/>
    <w:rsid w:val="008E55E5"/>
    <w:rsid w:val="008E736E"/>
    <w:rsid w:val="008F051F"/>
    <w:rsid w:val="008F4CE1"/>
    <w:rsid w:val="008F69B1"/>
    <w:rsid w:val="008F7C01"/>
    <w:rsid w:val="009002D2"/>
    <w:rsid w:val="0090055A"/>
    <w:rsid w:val="009015F1"/>
    <w:rsid w:val="00901E3F"/>
    <w:rsid w:val="00902521"/>
    <w:rsid w:val="0090478F"/>
    <w:rsid w:val="009152A8"/>
    <w:rsid w:val="0091645A"/>
    <w:rsid w:val="009219B2"/>
    <w:rsid w:val="00924539"/>
    <w:rsid w:val="0092498B"/>
    <w:rsid w:val="009275C7"/>
    <w:rsid w:val="009337DB"/>
    <w:rsid w:val="009360B0"/>
    <w:rsid w:val="00937FDC"/>
    <w:rsid w:val="009429A5"/>
    <w:rsid w:val="00943AB0"/>
    <w:rsid w:val="0094755F"/>
    <w:rsid w:val="009568CE"/>
    <w:rsid w:val="00961345"/>
    <w:rsid w:val="00962B79"/>
    <w:rsid w:val="00963337"/>
    <w:rsid w:val="00967788"/>
    <w:rsid w:val="00967844"/>
    <w:rsid w:val="00967CDF"/>
    <w:rsid w:val="00971C31"/>
    <w:rsid w:val="009725EF"/>
    <w:rsid w:val="009808A3"/>
    <w:rsid w:val="00983D59"/>
    <w:rsid w:val="009857B9"/>
    <w:rsid w:val="00987008"/>
    <w:rsid w:val="00990454"/>
    <w:rsid w:val="00991829"/>
    <w:rsid w:val="009922F4"/>
    <w:rsid w:val="0099482E"/>
    <w:rsid w:val="009954FC"/>
    <w:rsid w:val="00997474"/>
    <w:rsid w:val="009A58B5"/>
    <w:rsid w:val="009A5A7D"/>
    <w:rsid w:val="009B1E23"/>
    <w:rsid w:val="009B2DAE"/>
    <w:rsid w:val="009B3CE2"/>
    <w:rsid w:val="009B6254"/>
    <w:rsid w:val="009B74A7"/>
    <w:rsid w:val="009C15F6"/>
    <w:rsid w:val="009C3026"/>
    <w:rsid w:val="009C5211"/>
    <w:rsid w:val="009C747C"/>
    <w:rsid w:val="009D0C92"/>
    <w:rsid w:val="009D23AB"/>
    <w:rsid w:val="009D4763"/>
    <w:rsid w:val="009E10E5"/>
    <w:rsid w:val="009E2059"/>
    <w:rsid w:val="009E3968"/>
    <w:rsid w:val="009E57A8"/>
    <w:rsid w:val="009E5C88"/>
    <w:rsid w:val="009F6BB8"/>
    <w:rsid w:val="00A028C7"/>
    <w:rsid w:val="00A04506"/>
    <w:rsid w:val="00A052D3"/>
    <w:rsid w:val="00A13248"/>
    <w:rsid w:val="00A26438"/>
    <w:rsid w:val="00A31248"/>
    <w:rsid w:val="00A34400"/>
    <w:rsid w:val="00A43369"/>
    <w:rsid w:val="00A45226"/>
    <w:rsid w:val="00A52735"/>
    <w:rsid w:val="00A530C0"/>
    <w:rsid w:val="00A56BEA"/>
    <w:rsid w:val="00A60EF4"/>
    <w:rsid w:val="00A614B8"/>
    <w:rsid w:val="00A61AC9"/>
    <w:rsid w:val="00A61B3D"/>
    <w:rsid w:val="00A71D5A"/>
    <w:rsid w:val="00A76DD8"/>
    <w:rsid w:val="00A865BB"/>
    <w:rsid w:val="00A87151"/>
    <w:rsid w:val="00A91B10"/>
    <w:rsid w:val="00A92FD1"/>
    <w:rsid w:val="00AA198B"/>
    <w:rsid w:val="00AA2E4B"/>
    <w:rsid w:val="00AA50B8"/>
    <w:rsid w:val="00AA5991"/>
    <w:rsid w:val="00AA5F3D"/>
    <w:rsid w:val="00AB192E"/>
    <w:rsid w:val="00AB2CDE"/>
    <w:rsid w:val="00AB3034"/>
    <w:rsid w:val="00AB65F4"/>
    <w:rsid w:val="00AC17E9"/>
    <w:rsid w:val="00AC2DC1"/>
    <w:rsid w:val="00AC3C88"/>
    <w:rsid w:val="00AD2C52"/>
    <w:rsid w:val="00AD7210"/>
    <w:rsid w:val="00AE0E15"/>
    <w:rsid w:val="00AE3B75"/>
    <w:rsid w:val="00AE65F5"/>
    <w:rsid w:val="00AF4124"/>
    <w:rsid w:val="00AF5699"/>
    <w:rsid w:val="00AF5C0E"/>
    <w:rsid w:val="00B07DB3"/>
    <w:rsid w:val="00B119C0"/>
    <w:rsid w:val="00B12B74"/>
    <w:rsid w:val="00B159F1"/>
    <w:rsid w:val="00B223F8"/>
    <w:rsid w:val="00B27828"/>
    <w:rsid w:val="00B36C24"/>
    <w:rsid w:val="00B36FCB"/>
    <w:rsid w:val="00B42A33"/>
    <w:rsid w:val="00B4551E"/>
    <w:rsid w:val="00B50107"/>
    <w:rsid w:val="00B63150"/>
    <w:rsid w:val="00B639CE"/>
    <w:rsid w:val="00B71184"/>
    <w:rsid w:val="00B72CA1"/>
    <w:rsid w:val="00B76FE5"/>
    <w:rsid w:val="00B771E2"/>
    <w:rsid w:val="00B82B14"/>
    <w:rsid w:val="00B85C84"/>
    <w:rsid w:val="00B866E9"/>
    <w:rsid w:val="00B94D5E"/>
    <w:rsid w:val="00B96590"/>
    <w:rsid w:val="00BA1473"/>
    <w:rsid w:val="00BA1B57"/>
    <w:rsid w:val="00BB11CA"/>
    <w:rsid w:val="00BB254E"/>
    <w:rsid w:val="00BB3055"/>
    <w:rsid w:val="00BB3DD4"/>
    <w:rsid w:val="00BB3E10"/>
    <w:rsid w:val="00BB5497"/>
    <w:rsid w:val="00BB759E"/>
    <w:rsid w:val="00BB7A6A"/>
    <w:rsid w:val="00BD227D"/>
    <w:rsid w:val="00BD39BD"/>
    <w:rsid w:val="00BD3F89"/>
    <w:rsid w:val="00BD44D0"/>
    <w:rsid w:val="00BF4030"/>
    <w:rsid w:val="00C02081"/>
    <w:rsid w:val="00C039A3"/>
    <w:rsid w:val="00C03F5E"/>
    <w:rsid w:val="00C044F3"/>
    <w:rsid w:val="00C06CB1"/>
    <w:rsid w:val="00C12C2D"/>
    <w:rsid w:val="00C16CE5"/>
    <w:rsid w:val="00C20B6E"/>
    <w:rsid w:val="00C24E84"/>
    <w:rsid w:val="00C252E0"/>
    <w:rsid w:val="00C27A07"/>
    <w:rsid w:val="00C33064"/>
    <w:rsid w:val="00C40894"/>
    <w:rsid w:val="00C422C6"/>
    <w:rsid w:val="00C453E7"/>
    <w:rsid w:val="00C4720F"/>
    <w:rsid w:val="00C5078A"/>
    <w:rsid w:val="00C52008"/>
    <w:rsid w:val="00C56065"/>
    <w:rsid w:val="00C60CDA"/>
    <w:rsid w:val="00C63E42"/>
    <w:rsid w:val="00C641B7"/>
    <w:rsid w:val="00C6459A"/>
    <w:rsid w:val="00C64E7B"/>
    <w:rsid w:val="00C71DC4"/>
    <w:rsid w:val="00C73BD5"/>
    <w:rsid w:val="00C76E7B"/>
    <w:rsid w:val="00C82EE7"/>
    <w:rsid w:val="00C906D2"/>
    <w:rsid w:val="00C94C84"/>
    <w:rsid w:val="00CA1604"/>
    <w:rsid w:val="00CA39F4"/>
    <w:rsid w:val="00CA4783"/>
    <w:rsid w:val="00CA7BA6"/>
    <w:rsid w:val="00CB1E10"/>
    <w:rsid w:val="00CB4201"/>
    <w:rsid w:val="00CB4469"/>
    <w:rsid w:val="00CB4685"/>
    <w:rsid w:val="00CB6CA6"/>
    <w:rsid w:val="00CC0702"/>
    <w:rsid w:val="00CC750C"/>
    <w:rsid w:val="00CD282A"/>
    <w:rsid w:val="00CE5F8C"/>
    <w:rsid w:val="00CE7B30"/>
    <w:rsid w:val="00CF248D"/>
    <w:rsid w:val="00CF451E"/>
    <w:rsid w:val="00D024AA"/>
    <w:rsid w:val="00D07F5E"/>
    <w:rsid w:val="00D17A26"/>
    <w:rsid w:val="00D301FB"/>
    <w:rsid w:val="00D31E1C"/>
    <w:rsid w:val="00D353FC"/>
    <w:rsid w:val="00D4008D"/>
    <w:rsid w:val="00D40933"/>
    <w:rsid w:val="00D441A8"/>
    <w:rsid w:val="00D52F30"/>
    <w:rsid w:val="00D53888"/>
    <w:rsid w:val="00D55DDD"/>
    <w:rsid w:val="00D63A31"/>
    <w:rsid w:val="00D6444A"/>
    <w:rsid w:val="00D6582A"/>
    <w:rsid w:val="00D70DED"/>
    <w:rsid w:val="00D86EE0"/>
    <w:rsid w:val="00D92267"/>
    <w:rsid w:val="00D94A4E"/>
    <w:rsid w:val="00D95BF2"/>
    <w:rsid w:val="00D97A99"/>
    <w:rsid w:val="00DA1922"/>
    <w:rsid w:val="00DA19E3"/>
    <w:rsid w:val="00DA2DF2"/>
    <w:rsid w:val="00DB003A"/>
    <w:rsid w:val="00DC3390"/>
    <w:rsid w:val="00DD2D59"/>
    <w:rsid w:val="00DD4CAB"/>
    <w:rsid w:val="00DE0970"/>
    <w:rsid w:val="00DE115A"/>
    <w:rsid w:val="00DF7FC2"/>
    <w:rsid w:val="00E07C67"/>
    <w:rsid w:val="00E10C23"/>
    <w:rsid w:val="00E12A48"/>
    <w:rsid w:val="00E17C3C"/>
    <w:rsid w:val="00E20E7C"/>
    <w:rsid w:val="00E35101"/>
    <w:rsid w:val="00E41B76"/>
    <w:rsid w:val="00E4497B"/>
    <w:rsid w:val="00E508B9"/>
    <w:rsid w:val="00E56508"/>
    <w:rsid w:val="00E65CE0"/>
    <w:rsid w:val="00E80A68"/>
    <w:rsid w:val="00E846CB"/>
    <w:rsid w:val="00E86010"/>
    <w:rsid w:val="00E87167"/>
    <w:rsid w:val="00E9092C"/>
    <w:rsid w:val="00EA0276"/>
    <w:rsid w:val="00EA21AB"/>
    <w:rsid w:val="00EA6E3A"/>
    <w:rsid w:val="00EA749C"/>
    <w:rsid w:val="00EB44FF"/>
    <w:rsid w:val="00EB5003"/>
    <w:rsid w:val="00EC478C"/>
    <w:rsid w:val="00EC6ADF"/>
    <w:rsid w:val="00EC6B67"/>
    <w:rsid w:val="00EE0C3B"/>
    <w:rsid w:val="00EE13EC"/>
    <w:rsid w:val="00EE30F1"/>
    <w:rsid w:val="00EE5316"/>
    <w:rsid w:val="00EE7681"/>
    <w:rsid w:val="00EF7C55"/>
    <w:rsid w:val="00EF7F57"/>
    <w:rsid w:val="00F00548"/>
    <w:rsid w:val="00F0286B"/>
    <w:rsid w:val="00F0557D"/>
    <w:rsid w:val="00F05E51"/>
    <w:rsid w:val="00F075EE"/>
    <w:rsid w:val="00F110C8"/>
    <w:rsid w:val="00F204D3"/>
    <w:rsid w:val="00F205A0"/>
    <w:rsid w:val="00F2104C"/>
    <w:rsid w:val="00F21872"/>
    <w:rsid w:val="00F23D29"/>
    <w:rsid w:val="00F35549"/>
    <w:rsid w:val="00F44F1C"/>
    <w:rsid w:val="00F454CA"/>
    <w:rsid w:val="00F46E64"/>
    <w:rsid w:val="00F5175D"/>
    <w:rsid w:val="00F56215"/>
    <w:rsid w:val="00F65D83"/>
    <w:rsid w:val="00F72F6A"/>
    <w:rsid w:val="00FA142F"/>
    <w:rsid w:val="00FB162B"/>
    <w:rsid w:val="00FB1A38"/>
    <w:rsid w:val="00FB4FDA"/>
    <w:rsid w:val="00FB58E6"/>
    <w:rsid w:val="00FB6E35"/>
    <w:rsid w:val="00FB7ACF"/>
    <w:rsid w:val="00FC061A"/>
    <w:rsid w:val="00FC5B73"/>
    <w:rsid w:val="00FC7D4C"/>
    <w:rsid w:val="00FD0999"/>
    <w:rsid w:val="00FD20B0"/>
    <w:rsid w:val="00FD53AC"/>
    <w:rsid w:val="00FD6046"/>
    <w:rsid w:val="00FE14D3"/>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145" fill="f" fillcolor="none [3204]" strokecolor="none [3213]">
      <v:fill color="none [3204]" on="f"/>
      <v:stroke color="none [3213]"/>
    </o:shapedefaults>
    <o:shapelayout v:ext="edit">
      <o:idmap v:ext="edit" data="1"/>
    </o:shapelayout>
  </w:shapeDefaults>
  <w:decimalSymbol w:val="."/>
  <w:listSeparator w:val=","/>
  <w15:chartTrackingRefBased/>
  <w15:docId w15:val="{4F390B58-2051-4B63-9DD9-2A9E12BF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12C2D"/>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character" w:styleId="FootnoteReference">
    <w:name w:val="footnote reference"/>
    <w:basedOn w:val="DefaultParagraphFont"/>
    <w:uiPriority w:val="99"/>
    <w:unhideWhenUsed/>
    <w:rsid w:val="00AA5F3D"/>
    <w:rPr>
      <w:vertAlign w:val="superscript"/>
    </w:rPr>
  </w:style>
  <w:style w:type="paragraph" w:styleId="FootnoteText">
    <w:name w:val="footnote text"/>
    <w:basedOn w:val="Normal"/>
    <w:link w:val="FootnoteTextChar"/>
    <w:uiPriority w:val="99"/>
    <w:unhideWhenUsed/>
    <w:rsid w:val="00AA5F3D"/>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AA5F3D"/>
    <w:rPr>
      <w:rFonts w:asciiTheme="minorHAnsi" w:eastAsiaTheme="minorEastAsia" w:hAnsiTheme="minorHAnsi" w:cstheme="minorBidi"/>
      <w:kern w:val="0"/>
      <w:lang w:val="en-GB" w:eastAsia="zh-CN"/>
    </w:rPr>
  </w:style>
  <w:style w:type="paragraph" w:styleId="ListParagraph">
    <w:name w:val="List Paragraph"/>
    <w:basedOn w:val="Normal"/>
    <w:uiPriority w:val="34"/>
    <w:rsid w:val="00585B45"/>
    <w:pPr>
      <w:ind w:left="720"/>
      <w:contextualSpacing/>
    </w:pPr>
  </w:style>
  <w:style w:type="paragraph" w:styleId="Header">
    <w:name w:val="header"/>
    <w:basedOn w:val="Normal"/>
    <w:link w:val="HeaderChar"/>
    <w:uiPriority w:val="99"/>
    <w:unhideWhenUsed/>
    <w:rsid w:val="005B1F56"/>
    <w:pPr>
      <w:tabs>
        <w:tab w:val="center" w:pos="4153"/>
        <w:tab w:val="right" w:pos="8306"/>
      </w:tabs>
      <w:spacing w:line="240" w:lineRule="auto"/>
    </w:pPr>
  </w:style>
  <w:style w:type="character" w:customStyle="1" w:styleId="HeaderChar">
    <w:name w:val="Header Char"/>
    <w:basedOn w:val="DefaultParagraphFont"/>
    <w:link w:val="Header"/>
    <w:uiPriority w:val="99"/>
    <w:rsid w:val="005B1F56"/>
    <w:rPr>
      <w:sz w:val="22"/>
    </w:rPr>
  </w:style>
  <w:style w:type="paragraph" w:styleId="Footer">
    <w:name w:val="footer"/>
    <w:basedOn w:val="Normal"/>
    <w:link w:val="FooterChar"/>
    <w:uiPriority w:val="99"/>
    <w:unhideWhenUsed/>
    <w:rsid w:val="005B1F56"/>
    <w:pPr>
      <w:tabs>
        <w:tab w:val="center" w:pos="4153"/>
        <w:tab w:val="right" w:pos="8306"/>
      </w:tabs>
      <w:spacing w:line="240" w:lineRule="auto"/>
    </w:pPr>
  </w:style>
  <w:style w:type="character" w:customStyle="1" w:styleId="FooterChar">
    <w:name w:val="Footer Char"/>
    <w:basedOn w:val="DefaultParagraphFont"/>
    <w:link w:val="Footer"/>
    <w:uiPriority w:val="99"/>
    <w:rsid w:val="005B1F56"/>
    <w:rPr>
      <w:sz w:val="22"/>
    </w:rPr>
  </w:style>
  <w:style w:type="paragraph" w:customStyle="1" w:styleId="NumberHeading">
    <w:name w:val="NumberHeading"/>
    <w:basedOn w:val="Normal"/>
    <w:rsid w:val="00E508B9"/>
    <w:pPr>
      <w:spacing w:line="240" w:lineRule="auto"/>
      <w:jc w:val="both"/>
    </w:pPr>
    <w:rPr>
      <w:rFonts w:ascii="Times New Roman" w:hAnsi="Times New Roman"/>
      <w:b/>
      <w:kern w:val="0"/>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4E1C-456E-496A-995D-B435958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HKSFC</dc:creator>
  <cp:keywords/>
  <dc:description/>
  <cp:lastModifiedBy>HKSFC</cp:lastModifiedBy>
  <cp:revision>2</cp:revision>
  <cp:lastPrinted>2018-12-14T10:30:00Z</cp:lastPrinted>
  <dcterms:created xsi:type="dcterms:W3CDTF">2020-02-27T01:33:00Z</dcterms:created>
  <dcterms:modified xsi:type="dcterms:W3CDTF">2020-02-27T01:33:00Z</dcterms:modified>
</cp:coreProperties>
</file>