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1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A34618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Building Material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1" w:name="approvalletterforindividual"/>
      <w:bookmarkEnd w:id="1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1"/>
        <w:gridCol w:w="1556"/>
        <w:gridCol w:w="1233"/>
        <w:gridCol w:w="2592"/>
        <w:gridCol w:w="2592"/>
        <w:gridCol w:w="2592"/>
        <w:gridCol w:w="2592"/>
      </w:tblGrid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A115C6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505" w:type="pct"/>
          </w:tcPr>
          <w:p w:rsidR="00A115C6" w:rsidRPr="00251CCF" w:rsidRDefault="00A115C6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00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Number of shares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Price per share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Resultant balance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  <w:tc>
          <w:tcPr>
            <w:tcW w:w="841" w:type="pct"/>
          </w:tcPr>
          <w:p w:rsidR="00A115C6" w:rsidRPr="00251CCF" w:rsidRDefault="00A115C6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Percentage of class</w:t>
            </w:r>
            <w:r w:rsidR="00E90E91" w:rsidRPr="00E90E91">
              <w:rPr>
                <w:rFonts w:eastAsia="SimSun"/>
                <w:b/>
                <w:bCs/>
              </w:rPr>
              <w:t xml:space="preserve"> (including those of any person with whom there is an agreement or understanding)</w:t>
            </w:r>
          </w:p>
        </w:tc>
      </w:tr>
      <w:tr w:rsidR="00694BC4" w:rsidRPr="00251CCF" w:rsidTr="000E75A4">
        <w:trPr>
          <w:tblHeader/>
        </w:trPr>
        <w:tc>
          <w:tcPr>
            <w:tcW w:w="730" w:type="pct"/>
          </w:tcPr>
          <w:p w:rsidR="00A115C6" w:rsidRPr="00251CCF" w:rsidRDefault="003A1FC8" w:rsidP="003A1FC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BlackRock, Inc.</w:t>
            </w:r>
          </w:p>
        </w:tc>
        <w:tc>
          <w:tcPr>
            <w:tcW w:w="505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30 November 2017</w:t>
            </w:r>
          </w:p>
        </w:tc>
        <w:tc>
          <w:tcPr>
            <w:tcW w:w="400" w:type="pct"/>
          </w:tcPr>
          <w:p w:rsidR="00A115C6" w:rsidRPr="00251CCF" w:rsidRDefault="00A115C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2,354,512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$7.1800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243,852,355</w:t>
            </w:r>
          </w:p>
        </w:tc>
        <w:tc>
          <w:tcPr>
            <w:tcW w:w="841" w:type="pct"/>
          </w:tcPr>
          <w:p w:rsidR="00A115C6" w:rsidRPr="00251CCF" w:rsidRDefault="002E2672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8.4695%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2A1C84" w:rsidRDefault="00870E0A" w:rsidP="00564259">
      <w:pPr>
        <w:widowControl/>
        <w:topLinePunct/>
        <w:adjustRightInd w:val="0"/>
        <w:rPr>
          <w:color w:val="auto"/>
          <w:kern w:val="0"/>
        </w:rPr>
      </w:pPr>
      <w:r w:rsidRPr="00251CCF">
        <w:rPr>
          <w:noProof/>
          <w:color w:val="auto"/>
        </w:rPr>
        <w:t>BlackRock, Inc.</w:t>
      </w:r>
      <w:r w:rsidR="00BD6CD7" w:rsidRPr="00251CCF">
        <w:rPr>
          <w:color w:val="auto"/>
        </w:rPr>
        <w:t xml:space="preserve"> </w:t>
      </w:r>
      <w:r w:rsidR="00BD6CD7" w:rsidRPr="00251CCF">
        <w:rPr>
          <w:color w:val="auto"/>
          <w:kern w:val="0"/>
        </w:rPr>
        <w:t>is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 a </w:t>
      </w:r>
      <w:r w:rsidR="00D47847">
        <w:rPr>
          <w:rFonts w:eastAsia="SimSun"/>
          <w:color w:val="auto"/>
          <w:kern w:val="0"/>
          <w:lang w:eastAsia="zh-CN"/>
        </w:rPr>
        <w:t>Class (6)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 associate of </w:t>
      </w:r>
      <w:r w:rsidR="005A1CE3" w:rsidRPr="00251CCF">
        <w:rPr>
          <w:noProof/>
        </w:rPr>
        <w:t>the Offeror</w:t>
      </w:r>
      <w:r w:rsidR="00BD6CD7" w:rsidRPr="00251CCF">
        <w:rPr>
          <w:color w:val="auto"/>
          <w:kern w:val="0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by virtue of its holdings of </w:t>
      </w:r>
      <w:r w:rsidR="005A1CE3" w:rsidRPr="00251CCF">
        <w:rPr>
          <w:noProof/>
        </w:rPr>
        <w:t>ordinary shares</w:t>
      </w:r>
      <w:r w:rsidRPr="00251CCF">
        <w:rPr>
          <w:color w:val="auto"/>
          <w:kern w:val="0"/>
        </w:rPr>
        <w:t xml:space="preserve"> in </w:t>
      </w:r>
      <w:r w:rsidR="005A1CE3" w:rsidRPr="00251CCF">
        <w:rPr>
          <w:noProof/>
        </w:rPr>
        <w:t>the Offeror</w:t>
      </w:r>
      <w:r w:rsidRPr="00251CCF">
        <w:rPr>
          <w:color w:val="auto"/>
          <w:kern w:val="0"/>
        </w:rPr>
        <w:t>.</w:t>
      </w:r>
    </w:p>
    <w:p w:rsidR="0045373D" w:rsidRDefault="00863DD7" w:rsidP="00564259">
      <w:pPr>
        <w:widowControl/>
        <w:topLinePunct/>
        <w:adjustRightInd w:val="0"/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the account of discretionary investment clients</w:t>
      </w:r>
      <w:r w:rsidRPr="00251CCF">
        <w:rPr>
          <w:color w:val="auto"/>
        </w:rPr>
        <w:t>.</w:t>
      </w:r>
    </w:p>
    <w:p w:rsidR="00BD6CD7" w:rsidRPr="00251CCF" w:rsidRDefault="000468D0" w:rsidP="000468D0">
      <w:pPr>
        <w:widowControl/>
        <w:topLinePunct/>
        <w:adjustRightInd w:val="0"/>
        <w:rPr>
          <w:color w:val="auto"/>
        </w:rPr>
      </w:pPr>
      <w:r>
        <w:t>The dealing indicates the receipt of collateral by BlackRock, Inc., and the figure represents the net movement in collateral.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3C" w:rsidRDefault="00E25A3C" w:rsidP="00095445">
      <w:r>
        <w:separator/>
      </w:r>
    </w:p>
  </w:endnote>
  <w:endnote w:type="continuationSeparator" w:id="0">
    <w:p w:rsidR="00E25A3C" w:rsidRDefault="00E25A3C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3C" w:rsidRDefault="00E25A3C" w:rsidP="00095445">
      <w:r>
        <w:separator/>
      </w:r>
    </w:p>
  </w:footnote>
  <w:footnote w:type="continuationSeparator" w:id="0">
    <w:p w:rsidR="00E25A3C" w:rsidRDefault="00E25A3C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468D0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D2EBC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4DC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4618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B86DC272-1CFE-40F3-848A-582611BA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0468D0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2712A-B927-40A6-8326-E185FAAC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Hankle YH WONG</dc:creator>
  <cp:lastModifiedBy>Vivien YN WONG</cp:lastModifiedBy>
  <cp:revision>2</cp:revision>
  <dcterms:created xsi:type="dcterms:W3CDTF">2017-12-04T08:38:00Z</dcterms:created>
  <dcterms:modified xsi:type="dcterms:W3CDTF">2017-12-04T08:38:00Z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