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4 March 2019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>Privatisation by way of scheme of arrangement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HOPEWELL HOLDINGS LTD.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0" w:name="approvalletterforindividual"/>
      <w:bookmarkEnd w:id="0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6"/>
        <w:gridCol w:w="1023"/>
        <w:gridCol w:w="1559"/>
        <w:gridCol w:w="4253"/>
        <w:gridCol w:w="1276"/>
        <w:gridCol w:w="1137"/>
        <w:gridCol w:w="2003"/>
        <w:gridCol w:w="1387"/>
        <w:gridCol w:w="1384"/>
      </w:tblGrid>
      <w:tr w:rsidR="00EE1CD5" w:rsidRPr="00251CCF" w:rsidTr="008A7EF2">
        <w:trPr>
          <w:tblHeader/>
        </w:trPr>
        <w:tc>
          <w:tcPr>
            <w:tcW w:w="450" w:type="pct"/>
          </w:tcPr>
          <w:p w:rsidR="00095445" w:rsidRPr="00251CCF" w:rsidRDefault="00095445" w:rsidP="003A1FC8">
            <w:pPr>
              <w:widowControl/>
              <w:topLinePunct/>
              <w:adjustRightInd w:val="0"/>
              <w:rPr>
                <w:rFonts w:eastAsia="SimSun"/>
                <w:bCs/>
              </w:rPr>
            </w:pPr>
            <w:r w:rsidRPr="00251CCF">
              <w:rPr>
                <w:rFonts w:eastAsia="SimSun"/>
                <w:b/>
                <w:bCs/>
              </w:rPr>
              <w:t>Party</w:t>
            </w:r>
          </w:p>
        </w:tc>
        <w:tc>
          <w:tcPr>
            <w:tcW w:w="332" w:type="pct"/>
          </w:tcPr>
          <w:p w:rsidR="00095445" w:rsidRPr="00251CCF" w:rsidRDefault="00044F12" w:rsidP="00CA3F85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Date</w:t>
            </w:r>
          </w:p>
        </w:tc>
        <w:tc>
          <w:tcPr>
            <w:tcW w:w="506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Description of relevant securities</w:t>
            </w:r>
          </w:p>
        </w:tc>
        <w:tc>
          <w:tcPr>
            <w:tcW w:w="1380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Nature of dealings</w:t>
            </w:r>
          </w:p>
        </w:tc>
        <w:tc>
          <w:tcPr>
            <w:tcW w:w="414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Purchase / Sale</w:t>
            </w:r>
          </w:p>
        </w:tc>
        <w:tc>
          <w:tcPr>
            <w:tcW w:w="369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Total number of shares involved</w:t>
            </w:r>
          </w:p>
        </w:tc>
        <w:tc>
          <w:tcPr>
            <w:tcW w:w="650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Total amount paid / received</w:t>
            </w:r>
          </w:p>
        </w:tc>
        <w:tc>
          <w:tcPr>
            <w:tcW w:w="450" w:type="pct"/>
          </w:tcPr>
          <w:p w:rsidR="00095445" w:rsidRPr="00251CCF" w:rsidRDefault="00044F12" w:rsidP="00482E83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 xml:space="preserve">Highest (H) prices paid </w:t>
            </w:r>
            <w:r w:rsidR="00482E83" w:rsidRPr="00251CCF">
              <w:rPr>
                <w:rFonts w:eastAsia="SimSun"/>
                <w:b/>
                <w:bCs/>
              </w:rPr>
              <w:t>/</w:t>
            </w:r>
            <w:r w:rsidRPr="00251CCF">
              <w:rPr>
                <w:rFonts w:eastAsia="SimSun"/>
                <w:b/>
                <w:bCs/>
              </w:rPr>
              <w:t xml:space="preserve"> received</w:t>
            </w:r>
          </w:p>
        </w:tc>
        <w:tc>
          <w:tcPr>
            <w:tcW w:w="450" w:type="pct"/>
          </w:tcPr>
          <w:p w:rsidR="00095445" w:rsidRPr="00251CCF" w:rsidRDefault="00044F12" w:rsidP="00482E83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 xml:space="preserve">Lowest (L) prices paid </w:t>
            </w:r>
            <w:r w:rsidR="00482E83" w:rsidRPr="00251CCF">
              <w:rPr>
                <w:rFonts w:eastAsia="SimSun"/>
                <w:b/>
                <w:bCs/>
              </w:rPr>
              <w:t>/</w:t>
            </w:r>
            <w:r w:rsidRPr="00251CCF">
              <w:rPr>
                <w:rFonts w:eastAsia="SimSun"/>
                <w:b/>
                <w:bCs/>
              </w:rPr>
              <w:t xml:space="preserve"> received</w:t>
            </w:r>
          </w:p>
        </w:tc>
      </w:tr>
      <w:tr w:rsidR="00EE1CD5" w:rsidRPr="00251CCF" w:rsidTr="008A7EF2">
        <w:trPr>
          <w:tblHeader/>
        </w:trPr>
        <w:tc>
          <w:tcPr>
            <w:tcW w:w="450" w:type="pct"/>
          </w:tcPr>
          <w:p w:rsidR="00095445" w:rsidRPr="00251CCF" w:rsidRDefault="003A1FC8" w:rsidP="00C660B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Citigroup Global Markets Limited</w:t>
            </w:r>
          </w:p>
        </w:tc>
        <w:tc>
          <w:tcPr>
            <w:tcW w:w="332" w:type="pct"/>
          </w:tcPr>
          <w:p w:rsidR="00095445" w:rsidRPr="00251CCF" w:rsidRDefault="0064768A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1 March 2019</w:t>
            </w:r>
          </w:p>
        </w:tc>
        <w:tc>
          <w:tcPr>
            <w:tcW w:w="506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Ordinary shares</w:t>
            </w:r>
          </w:p>
        </w:tc>
        <w:tc>
          <w:tcPr>
            <w:tcW w:w="138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Hedging of Delta 1 products created as a result of wholly unsolicited client-driven orders</w:t>
            </w:r>
          </w:p>
        </w:tc>
        <w:tc>
          <w:tcPr>
            <w:tcW w:w="414" w:type="pct"/>
          </w:tcPr>
          <w:p w:rsidR="00095445" w:rsidRPr="00251CCF" w:rsidRDefault="00074B3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Sale</w:t>
            </w:r>
          </w:p>
        </w:tc>
        <w:tc>
          <w:tcPr>
            <w:tcW w:w="369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500</w:t>
            </w:r>
          </w:p>
        </w:tc>
        <w:tc>
          <w:tcPr>
            <w:tcW w:w="650" w:type="pct"/>
          </w:tcPr>
          <w:p w:rsidR="00095445" w:rsidRPr="00251CCF" w:rsidRDefault="00074B36" w:rsidP="008A7EF2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$18,000.00</w:t>
            </w:r>
          </w:p>
        </w:tc>
        <w:tc>
          <w:tcPr>
            <w:tcW w:w="450" w:type="pct"/>
          </w:tcPr>
          <w:p w:rsidR="00095445" w:rsidRPr="00251CCF" w:rsidRDefault="008A7EF2" w:rsidP="008A7EF2">
            <w:pPr>
              <w:widowControl/>
              <w:topLinePunct/>
              <w:adjustRightInd w:val="0"/>
              <w:jc w:val="right"/>
            </w:pPr>
            <w:r>
              <w:rPr>
                <w:noProof/>
              </w:rPr>
              <w:t>$36.00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</w:t>
            </w:r>
            <w:r w:rsidR="008A7EF2">
              <w:rPr>
                <w:noProof/>
              </w:rPr>
              <w:t>36.</w:t>
            </w:r>
            <w:r w:rsidRPr="00251CCF">
              <w:rPr>
                <w:noProof/>
              </w:rPr>
              <w:t>00</w:t>
            </w:r>
          </w:p>
        </w:tc>
      </w:tr>
      <w:tr w:rsidR="00EE1CD5" w:rsidRPr="00251CCF" w:rsidTr="008A7EF2">
        <w:trPr>
          <w:tblHeader/>
        </w:trPr>
        <w:tc>
          <w:tcPr>
            <w:tcW w:w="450" w:type="pct"/>
          </w:tcPr>
          <w:p w:rsidR="00095445" w:rsidRPr="00251CCF" w:rsidRDefault="003A1FC8" w:rsidP="00C660B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Citigroup Global Markets Limited</w:t>
            </w:r>
          </w:p>
        </w:tc>
        <w:tc>
          <w:tcPr>
            <w:tcW w:w="332" w:type="pct"/>
          </w:tcPr>
          <w:p w:rsidR="00095445" w:rsidRPr="00251CCF" w:rsidRDefault="0064768A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1 March 2019</w:t>
            </w:r>
          </w:p>
        </w:tc>
        <w:tc>
          <w:tcPr>
            <w:tcW w:w="506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Ordinary shares</w:t>
            </w:r>
          </w:p>
        </w:tc>
        <w:tc>
          <w:tcPr>
            <w:tcW w:w="138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Creation of Delta 1 products from wholly unsolicited client-driven orders</w:t>
            </w:r>
          </w:p>
        </w:tc>
        <w:tc>
          <w:tcPr>
            <w:tcW w:w="414" w:type="pct"/>
          </w:tcPr>
          <w:p w:rsidR="00095445" w:rsidRPr="00251CCF" w:rsidRDefault="00074B3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Sale</w:t>
            </w:r>
          </w:p>
        </w:tc>
        <w:tc>
          <w:tcPr>
            <w:tcW w:w="369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100,000</w:t>
            </w:r>
          </w:p>
        </w:tc>
        <w:tc>
          <w:tcPr>
            <w:tcW w:w="650" w:type="pct"/>
          </w:tcPr>
          <w:p w:rsidR="00095445" w:rsidRPr="00251CCF" w:rsidRDefault="00074B36" w:rsidP="008A7EF2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$3,601,850.00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</w:t>
            </w:r>
            <w:r w:rsidR="008A7EF2">
              <w:rPr>
                <w:noProof/>
              </w:rPr>
              <w:t>36.</w:t>
            </w:r>
            <w:r w:rsidRPr="00251CCF">
              <w:rPr>
                <w:noProof/>
              </w:rPr>
              <w:t>00</w:t>
            </w:r>
          </w:p>
        </w:tc>
        <w:tc>
          <w:tcPr>
            <w:tcW w:w="450" w:type="pct"/>
          </w:tcPr>
          <w:p w:rsidR="00095445" w:rsidRPr="00251CCF" w:rsidRDefault="008A7EF2" w:rsidP="00D471D9">
            <w:pPr>
              <w:widowControl/>
              <w:topLinePunct/>
              <w:adjustRightInd w:val="0"/>
              <w:jc w:val="right"/>
            </w:pPr>
            <w:r>
              <w:rPr>
                <w:noProof/>
              </w:rPr>
              <w:t>$36.</w:t>
            </w:r>
            <w:bookmarkStart w:id="1" w:name="_GoBack"/>
            <w:bookmarkEnd w:id="1"/>
            <w:r w:rsidR="0075357B" w:rsidRPr="00251CCF">
              <w:rPr>
                <w:noProof/>
              </w:rPr>
              <w:t>00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564259" w:rsidRDefault="006D14AB" w:rsidP="006D14AB">
      <w:pPr>
        <w:widowControl/>
        <w:topLinePunct/>
        <w:adjustRightInd w:val="0"/>
      </w:pPr>
      <w:r w:rsidRPr="00251CCF">
        <w:rPr>
          <w:noProof/>
          <w:color w:val="auto"/>
        </w:rPr>
        <w:t>Citigroup Global Markets Limited</w:t>
      </w:r>
      <w:r w:rsidRPr="00251CCF">
        <w:rPr>
          <w:color w:val="auto"/>
        </w:rPr>
        <w:t xml:space="preserve"> </w:t>
      </w:r>
      <w:r w:rsidRPr="00251CCF">
        <w:rPr>
          <w:color w:val="auto"/>
          <w:kern w:val="0"/>
        </w:rPr>
        <w:t xml:space="preserve">is </w:t>
      </w:r>
      <w:r w:rsidRPr="00251CCF">
        <w:rPr>
          <w:noProof/>
          <w:color w:val="auto"/>
          <w:kern w:val="0"/>
        </w:rPr>
        <w:t>an exempt principal trader connected with the Offeror</w:t>
      </w:r>
      <w:r w:rsidRPr="00251CCF">
        <w:rPr>
          <w:color w:val="auto"/>
        </w:rPr>
        <w:t>.</w:t>
      </w:r>
    </w:p>
    <w:p w:rsidR="00863DD7" w:rsidRPr="00251CCF" w:rsidRDefault="00863D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  <w:kern w:val="0"/>
        </w:rPr>
        <w:t xml:space="preserve">Dealings were made for </w:t>
      </w:r>
      <w:r w:rsidRPr="00251CCF">
        <w:rPr>
          <w:noProof/>
        </w:rPr>
        <w:t>its own account</w:t>
      </w:r>
      <w:r w:rsidRPr="00251CCF">
        <w:rPr>
          <w:color w:val="auto"/>
        </w:rPr>
        <w:t>.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Citigroup Global Markets Limited</w:t>
      </w:r>
      <w:r w:rsidR="00BD6CD7" w:rsidRPr="00251CCF">
        <w:rPr>
          <w:rFonts w:eastAsia="SimSun"/>
          <w:color w:val="auto"/>
          <w:lang w:eastAsia="zh-CN"/>
        </w:rPr>
        <w:t xml:space="preserve"> 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is ultimately owned by </w:t>
      </w:r>
      <w:r w:rsidR="005A1CE3" w:rsidRPr="00251CCF">
        <w:rPr>
          <w:noProof/>
        </w:rPr>
        <w:t>Citigroup, Inc.</w:t>
      </w:r>
      <w:r w:rsidRPr="00251CCF">
        <w:rPr>
          <w:color w:val="auto"/>
        </w:rPr>
        <w:t>.</w:t>
      </w:r>
    </w:p>
    <w:sectPr w:rsidR="00BD6CD7" w:rsidRPr="00251CCF" w:rsidSect="00DB70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9" w:h="11907" w:orient="landscape" w:code="9"/>
      <w:pgMar w:top="720" w:right="720" w:bottom="720" w:left="720" w:header="864" w:footer="8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C0" w:rsidRDefault="008B3AC0" w:rsidP="00095445">
      <w:r>
        <w:separator/>
      </w:r>
    </w:p>
  </w:endnote>
  <w:endnote w:type="continuationSeparator" w:id="0">
    <w:p w:rsidR="008B3AC0" w:rsidRDefault="008B3AC0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CAA" w:rsidRDefault="00362C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CAA" w:rsidRDefault="00362C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CAA" w:rsidRDefault="0036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C0" w:rsidRDefault="008B3AC0" w:rsidP="00095445">
      <w:r>
        <w:separator/>
      </w:r>
    </w:p>
  </w:footnote>
  <w:footnote w:type="continuationSeparator" w:id="0">
    <w:p w:rsidR="008B3AC0" w:rsidRDefault="008B3AC0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CAA" w:rsidRDefault="00362C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DB70E6" w:rsidP="00362CAA">
    <w:pPr>
      <w:pStyle w:val="Header"/>
      <w:tabs>
        <w:tab w:val="left" w:pos="195"/>
        <w:tab w:val="right" w:pos="15399"/>
      </w:tabs>
      <w:rPr>
        <w:rFonts w:ascii="Arial" w:hAnsi="Arial" w:cs="Arial"/>
        <w:b/>
        <w:color w:val="83898E"/>
        <w:sz w:val="28"/>
        <w:szCs w:val="28"/>
      </w:rPr>
    </w:pPr>
    <w:r>
      <w:rPr>
        <w:noProof/>
        <w:sz w:val="16"/>
        <w:szCs w:val="16"/>
        <w:lang w:val="en-GB" w:eastAsia="zh-CN"/>
      </w:rPr>
      <w:drawing>
        <wp:anchor distT="0" distB="0" distL="114300" distR="114300" simplePos="0" relativeHeight="251662336" behindDoc="0" locked="0" layoutInCell="1" allowOverlap="1" wp14:anchorId="30C1A6EE" wp14:editId="102DC351">
          <wp:simplePos x="0" y="0"/>
          <wp:positionH relativeFrom="column">
            <wp:posOffset>0</wp:posOffset>
          </wp:positionH>
          <wp:positionV relativeFrom="page">
            <wp:posOffset>548005</wp:posOffset>
          </wp:positionV>
          <wp:extent cx="894938" cy="538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escription: Kitman:Users:kitman:Desktop:SFC_Logo_Abbreviation_15mm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4938" cy="538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CAA">
      <w:rPr>
        <w:rFonts w:ascii="Arial" w:hAnsi="Arial" w:cs="Arial"/>
        <w:b/>
        <w:color w:val="83898E"/>
        <w:sz w:val="28"/>
        <w:szCs w:val="28"/>
      </w:rPr>
      <w:tab/>
    </w:r>
    <w:r w:rsidR="00362CAA">
      <w:rPr>
        <w:rFonts w:ascii="Arial" w:hAnsi="Arial" w:cs="Arial"/>
        <w:b/>
        <w:color w:val="83898E"/>
        <w:sz w:val="28"/>
        <w:szCs w:val="28"/>
      </w:rPr>
      <w:tab/>
    </w:r>
    <w:r w:rsidR="00362CAA">
      <w:rPr>
        <w:rFonts w:ascii="Arial" w:hAnsi="Arial" w:cs="Arial"/>
        <w:b/>
        <w:color w:val="83898E"/>
        <w:sz w:val="28"/>
        <w:szCs w:val="28"/>
      </w:rPr>
      <w:tab/>
    </w:r>
    <w:r w:rsidR="00362CAA">
      <w:rPr>
        <w:rFonts w:ascii="Arial" w:hAnsi="Arial" w:cs="Arial"/>
        <w:b/>
        <w:color w:val="83898E"/>
        <w:sz w:val="28"/>
        <w:szCs w:val="28"/>
      </w:rPr>
      <w:tab/>
    </w:r>
    <w:r w:rsidR="00095445"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0E6" w:rsidRDefault="00DB70E6" w:rsidP="00DB70E6">
    <w:pPr>
      <w:pStyle w:val="Header"/>
      <w:tabs>
        <w:tab w:val="left" w:pos="195"/>
        <w:tab w:val="right" w:pos="15399"/>
      </w:tabs>
      <w:jc w:val="right"/>
      <w:rPr>
        <w:rFonts w:ascii="Arial" w:hAnsi="Arial" w:cs="Arial"/>
        <w:b/>
        <w:color w:val="83898E"/>
        <w:sz w:val="28"/>
        <w:szCs w:val="28"/>
      </w:rPr>
    </w:pPr>
    <w:r>
      <w:rPr>
        <w:noProof/>
        <w:lang w:val="en-GB" w:eastAsia="zh-CN"/>
      </w:rPr>
      <w:drawing>
        <wp:anchor distT="0" distB="0" distL="114300" distR="114300" simplePos="0" relativeHeight="251660288" behindDoc="0" locked="0" layoutInCell="1" allowOverlap="1" wp14:anchorId="7751501E" wp14:editId="057B7BD9">
          <wp:simplePos x="0" y="0"/>
          <wp:positionH relativeFrom="column">
            <wp:posOffset>1157</wp:posOffset>
          </wp:positionH>
          <wp:positionV relativeFrom="page">
            <wp:posOffset>528955</wp:posOffset>
          </wp:positionV>
          <wp:extent cx="2194560" cy="722376"/>
          <wp:effectExtent l="0" t="0" r="0" b="0"/>
          <wp:wrapThrough wrapText="bothSides">
            <wp:wrapPolygon edited="0">
              <wp:start x="0" y="0"/>
              <wp:lineTo x="0" y="5699"/>
              <wp:lineTo x="188" y="9119"/>
              <wp:lineTo x="2250" y="18237"/>
              <wp:lineTo x="6750" y="21087"/>
              <wp:lineTo x="7313" y="21087"/>
              <wp:lineTo x="21375" y="21087"/>
              <wp:lineTo x="21375" y="10828"/>
              <wp:lineTo x="7688" y="9119"/>
              <wp:lineTo x="8813" y="4559"/>
              <wp:lineTo x="8250" y="570"/>
              <wp:lineTo x="37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Kitman:Users:kitman:Desktop:SFC_Logo_FullName_20mm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DB70E6" w:rsidRDefault="00DB70E6" w:rsidP="00DB70E6">
    <w:pPr>
      <w:pStyle w:val="Header"/>
      <w:tabs>
        <w:tab w:val="left" w:pos="195"/>
        <w:tab w:val="right" w:pos="15399"/>
      </w:tabs>
      <w:rPr>
        <w:rFonts w:ascii="Arial" w:hAnsi="Arial" w:cs="Arial"/>
        <w:b/>
        <w:color w:val="83898E"/>
        <w:sz w:val="28"/>
        <w:szCs w:val="28"/>
      </w:rPr>
    </w:pPr>
  </w:p>
  <w:p w:rsidR="00DB70E6" w:rsidRDefault="00DB70E6" w:rsidP="00DB70E6">
    <w:pPr>
      <w:pStyle w:val="Header"/>
      <w:tabs>
        <w:tab w:val="left" w:pos="195"/>
        <w:tab w:val="right" w:pos="15399"/>
      </w:tabs>
      <w:rPr>
        <w:rFonts w:ascii="Arial" w:hAnsi="Arial" w:cs="Arial"/>
        <w:b/>
        <w:color w:val="83898E"/>
        <w:sz w:val="28"/>
        <w:szCs w:val="28"/>
      </w:rPr>
    </w:pPr>
  </w:p>
  <w:p w:rsidR="00DB70E6" w:rsidRPr="00251CCF" w:rsidRDefault="00DB70E6" w:rsidP="00DB70E6">
    <w:pPr>
      <w:pStyle w:val="Header"/>
      <w:tabs>
        <w:tab w:val="left" w:pos="195"/>
        <w:tab w:val="right" w:pos="15399"/>
      </w:tabs>
      <w:rPr>
        <w:rFonts w:ascii="Arial" w:hAnsi="Arial" w:cs="Arial"/>
        <w:b/>
        <w:color w:val="83898E"/>
        <w:sz w:val="28"/>
        <w:szCs w:val="28"/>
      </w:rPr>
    </w:pPr>
  </w:p>
  <w:p w:rsidR="00362CAA" w:rsidRDefault="00362C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2CAA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A7EF2"/>
    <w:rsid w:val="008B3AC0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1F81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55919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B70E6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3530F0-08ED-49D7-87CC-A8FC32C6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95445"/>
  </w:style>
  <w:style w:type="paragraph" w:styleId="Footer">
    <w:name w:val="footer"/>
    <w:basedOn w:val="Normal"/>
    <w:link w:val="FooterChar"/>
    <w:uiPriority w:val="99"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932E1-B2AA-41D3-AC14-131FDC6A4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B1641-5C6B-4560-93F6-A29EBCB1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Vivien YN WONG</cp:lastModifiedBy>
  <cp:revision>2</cp:revision>
  <dcterms:created xsi:type="dcterms:W3CDTF">2019-03-04T06:50:00Z</dcterms:created>
  <dcterms:modified xsi:type="dcterms:W3CDTF">2019-03-04T06:50:00Z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