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0C" w:rsidRPr="002912D2" w:rsidRDefault="00B92B0C" w:rsidP="00B92B0C">
      <w:pPr>
        <w:jc w:val="both"/>
        <w:rPr>
          <w:rFonts w:ascii="新細明體" w:eastAsia="新細明體" w:hAnsi="新細明體"/>
          <w:lang w:eastAsia="zh-TW"/>
        </w:rPr>
      </w:pPr>
      <w:r>
        <w:rPr>
          <w:rFonts w:eastAsia="新細明體" w:cs="Arial" w:hint="eastAsia"/>
          <w:lang w:eastAsia="zh-TW"/>
        </w:rPr>
        <w:t>20</w:t>
      </w:r>
      <w:r>
        <w:rPr>
          <w:rFonts w:eastAsia="新細明體" w:cs="Arial"/>
          <w:lang w:eastAsia="zh-TW"/>
        </w:rPr>
        <w:t>13</w:t>
      </w:r>
      <w:r>
        <w:rPr>
          <w:rFonts w:eastAsia="新細明體" w:cs="Arial" w:hint="eastAsia"/>
          <w:lang w:eastAsia="zh-TW"/>
        </w:rPr>
        <w:t>年</w:t>
      </w:r>
      <w:r>
        <w:rPr>
          <w:rFonts w:eastAsia="新細明體" w:cs="Arial"/>
          <w:lang w:eastAsia="zh-TW"/>
        </w:rPr>
        <w:t>5</w:t>
      </w:r>
      <w:r>
        <w:rPr>
          <w:rFonts w:eastAsia="新細明體" w:cs="Arial" w:hint="eastAsia"/>
          <w:lang w:eastAsia="zh-TW"/>
        </w:rPr>
        <w:t>月</w:t>
      </w:r>
      <w:r w:rsidR="00CC7BDF">
        <w:rPr>
          <w:rFonts w:eastAsia="新細明體" w:cs="Arial"/>
          <w:lang w:eastAsia="zh-TW"/>
        </w:rPr>
        <w:t>2</w:t>
      </w:r>
      <w:r w:rsidR="009355DF">
        <w:rPr>
          <w:rFonts w:eastAsia="新細明體" w:cs="Arial"/>
          <w:lang w:eastAsia="zh-TW"/>
        </w:rPr>
        <w:t>8</w:t>
      </w:r>
      <w:r>
        <w:rPr>
          <w:rFonts w:eastAsia="新細明體" w:cs="Arial" w:hint="eastAsia"/>
          <w:lang w:eastAsia="zh-TW"/>
        </w:rPr>
        <w:t>日</w:t>
      </w:r>
    </w:p>
    <w:p w:rsidR="002B381E" w:rsidRPr="002912D2" w:rsidRDefault="002B381E" w:rsidP="004026AF">
      <w:pPr>
        <w:rPr>
          <w:rFonts w:ascii="新細明體" w:eastAsia="新細明體" w:hAnsi="新細明體"/>
          <w:lang w:eastAsia="zh-TW"/>
        </w:rPr>
      </w:pPr>
    </w:p>
    <w:p w:rsidR="00B92B0C" w:rsidRPr="001270D1" w:rsidRDefault="00B92B0C" w:rsidP="00B92B0C">
      <w:pPr>
        <w:autoSpaceDE w:val="0"/>
        <w:autoSpaceDN w:val="0"/>
        <w:adjustRightInd w:val="0"/>
        <w:jc w:val="center"/>
        <w:rPr>
          <w:rFonts w:ascii="Calibri" w:eastAsia="MHei-Bold-Identity-H" w:hAnsi="Calibri" w:cs="MHei-Bold-Identity-H"/>
          <w:b/>
          <w:bCs/>
          <w:sz w:val="27"/>
          <w:szCs w:val="27"/>
          <w:lang w:eastAsia="zh-TW"/>
        </w:rPr>
      </w:pPr>
      <w:r>
        <w:rPr>
          <w:rFonts w:ascii="MHei-Bold-Identity-H" w:eastAsia="MHei-Bold-Identity-H" w:hAnsi="Times New Roman" w:cs="MHei-Bold-Identity-H" w:hint="eastAsia"/>
          <w:b/>
          <w:bCs/>
          <w:sz w:val="27"/>
          <w:szCs w:val="27"/>
          <w:lang w:eastAsia="zh-TW"/>
        </w:rPr>
        <w:t>華潤電力控股有限公司</w:t>
      </w:r>
      <w:r w:rsidR="001270D1">
        <w:rPr>
          <w:rFonts w:ascii="Calibri" w:eastAsia="MHei-Bold-Identity-H" w:hAnsi="Calibri" w:cs="MHei-Bold-Identity-H"/>
          <w:b/>
          <w:bCs/>
          <w:sz w:val="27"/>
          <w:szCs w:val="27"/>
          <w:lang w:eastAsia="zh-TW"/>
        </w:rPr>
        <w:t>(“</w:t>
      </w:r>
      <w:r w:rsidR="001270D1" w:rsidRPr="001270D1">
        <w:rPr>
          <w:rFonts w:ascii="Calibri" w:eastAsia="MHei-Bold-Identity-H" w:hAnsi="Calibri" w:cs="MHei-Bold-Identity-H" w:hint="eastAsia"/>
          <w:b/>
          <w:bCs/>
          <w:sz w:val="27"/>
          <w:szCs w:val="27"/>
          <w:lang w:eastAsia="zh-TW"/>
        </w:rPr>
        <w:t>要約人</w:t>
      </w:r>
      <w:r w:rsidR="007F1472">
        <w:rPr>
          <w:rFonts w:ascii="Calibri" w:eastAsia="MHei-Bold-Identity-H" w:hAnsi="Calibri" w:cs="MHei-Bold-Identity-H"/>
          <w:b/>
          <w:bCs/>
          <w:sz w:val="27"/>
          <w:szCs w:val="27"/>
          <w:lang w:eastAsia="zh-TW"/>
        </w:rPr>
        <w:t>”</w:t>
      </w:r>
      <w:r w:rsidR="001270D1">
        <w:rPr>
          <w:rFonts w:ascii="Calibri" w:eastAsia="MHei-Bold-Identity-H" w:hAnsi="Calibri" w:cs="MHei-Bold-Identity-H"/>
          <w:b/>
          <w:bCs/>
          <w:sz w:val="27"/>
          <w:szCs w:val="27"/>
          <w:lang w:eastAsia="zh-TW"/>
        </w:rPr>
        <w:t>)</w:t>
      </w:r>
      <w:r w:rsidR="001270D1" w:rsidRPr="001270D1">
        <w:rPr>
          <w:rFonts w:ascii="MHei-Bold-Identity-H" w:eastAsia="MHei-Bold-Identity-H" w:hAnsi="Times New Roman" w:cs="MHei-Bold-Identity-H" w:hint="eastAsia"/>
          <w:b/>
          <w:bCs/>
          <w:sz w:val="27"/>
          <w:szCs w:val="27"/>
          <w:lang w:eastAsia="zh-TW"/>
        </w:rPr>
        <w:t xml:space="preserve"> </w:t>
      </w:r>
      <w:r w:rsidR="001270D1">
        <w:rPr>
          <w:rFonts w:ascii="MHei-Bold-Identity-H" w:eastAsia="MHei-Bold-Identity-H" w:hAnsi="Times New Roman" w:cs="MHei-Bold-Identity-H" w:hint="eastAsia"/>
          <w:b/>
          <w:bCs/>
          <w:sz w:val="27"/>
          <w:szCs w:val="27"/>
          <w:lang w:eastAsia="zh-TW"/>
        </w:rPr>
        <w:t>透過實行安排計劃</w:t>
      </w:r>
    </w:p>
    <w:p w:rsidR="00B92B0C" w:rsidRDefault="00B92B0C" w:rsidP="001270D1">
      <w:pPr>
        <w:autoSpaceDE w:val="0"/>
        <w:autoSpaceDN w:val="0"/>
        <w:adjustRightInd w:val="0"/>
        <w:jc w:val="center"/>
        <w:rPr>
          <w:rFonts w:ascii="Calibri" w:eastAsia="MHei-Bold-Identity-H" w:hAnsi="Calibri" w:cs="MHei-Bold-Identity-H"/>
          <w:b/>
          <w:bCs/>
          <w:sz w:val="27"/>
          <w:szCs w:val="27"/>
          <w:lang w:eastAsia="zh-TW"/>
        </w:rPr>
      </w:pPr>
      <w:r>
        <w:rPr>
          <w:rFonts w:ascii="MHei-Bold-Identity-H" w:eastAsia="MHei-Bold-Identity-H" w:hAnsi="Times New Roman" w:cs="MHei-Bold-Identity-H" w:hint="eastAsia"/>
          <w:b/>
          <w:bCs/>
          <w:sz w:val="27"/>
          <w:szCs w:val="27"/>
          <w:lang w:eastAsia="zh-TW"/>
        </w:rPr>
        <w:t>與華潤燃氣控股有限公司</w:t>
      </w:r>
      <w:r w:rsidR="001270D1">
        <w:rPr>
          <w:rFonts w:ascii="Calibri" w:eastAsia="MHei-Bold-Identity-H" w:hAnsi="Calibri" w:cs="MHei-Bold-Identity-H"/>
          <w:b/>
          <w:bCs/>
          <w:sz w:val="27"/>
          <w:szCs w:val="27"/>
          <w:lang w:eastAsia="zh-TW"/>
        </w:rPr>
        <w:t>(“</w:t>
      </w:r>
      <w:r w:rsidR="001270D1" w:rsidRPr="001270D1">
        <w:rPr>
          <w:rFonts w:ascii="Calibri" w:eastAsia="MHei-Bold-Identity-H" w:hAnsi="Calibri" w:cs="MHei-Bold-Identity-H" w:hint="eastAsia"/>
          <w:b/>
          <w:bCs/>
          <w:sz w:val="27"/>
          <w:szCs w:val="27"/>
          <w:lang w:eastAsia="zh-TW"/>
        </w:rPr>
        <w:t>該公司</w:t>
      </w:r>
      <w:r w:rsidR="001270D1">
        <w:rPr>
          <w:rFonts w:ascii="Calibri" w:eastAsia="MHei-Bold-Identity-H" w:hAnsi="Calibri" w:cs="MHei-Bold-Identity-H"/>
          <w:b/>
          <w:bCs/>
          <w:sz w:val="27"/>
          <w:szCs w:val="27"/>
          <w:lang w:eastAsia="zh-TW"/>
        </w:rPr>
        <w:t>”)</w:t>
      </w:r>
      <w:r>
        <w:rPr>
          <w:rFonts w:ascii="MHei-Bold-Identity-H" w:eastAsia="MHei-Bold-Identity-H" w:hAnsi="Times New Roman" w:cs="MHei-Bold-Identity-H" w:hint="eastAsia"/>
          <w:b/>
          <w:bCs/>
          <w:sz w:val="27"/>
          <w:szCs w:val="27"/>
          <w:lang w:eastAsia="zh-TW"/>
        </w:rPr>
        <w:t>建議合併</w:t>
      </w:r>
    </w:p>
    <w:p w:rsidR="001270D1" w:rsidRPr="001270D1" w:rsidRDefault="001270D1" w:rsidP="00B92B0C">
      <w:pPr>
        <w:jc w:val="center"/>
        <w:rPr>
          <w:rFonts w:ascii="Calibri" w:eastAsia="MHei-Bold-Identity-H" w:hAnsi="Calibri" w:cs="MHei-Bold-Identity-H"/>
          <w:b/>
          <w:bCs/>
          <w:sz w:val="27"/>
          <w:szCs w:val="27"/>
          <w:lang w:eastAsia="zh-TW"/>
        </w:rPr>
      </w:pPr>
    </w:p>
    <w:p w:rsidR="001270D1" w:rsidRDefault="001270D1" w:rsidP="001270D1">
      <w:pPr>
        <w:spacing w:after="100" w:line="480" w:lineRule="auto"/>
        <w:jc w:val="center"/>
      </w:pPr>
      <w:r w:rsidRPr="00E54629">
        <w:rPr>
          <w:rFonts w:eastAsia="新細明體" w:hint="eastAsia"/>
          <w:b/>
          <w:lang w:val="en-US"/>
        </w:rPr>
        <w:t>就</w:t>
      </w:r>
      <w:r w:rsidR="00D315D6" w:rsidRPr="00D315D6">
        <w:rPr>
          <w:rFonts w:ascii="細明體" w:eastAsia="細明體" w:hAnsi="細明體" w:cs="MHei-Bold-Identity-H" w:hint="eastAsia"/>
          <w:b/>
          <w:bCs/>
          <w:lang w:eastAsia="zh-TW"/>
        </w:rPr>
        <w:t>該公司</w:t>
      </w:r>
      <w:r w:rsidRPr="00E54629">
        <w:rPr>
          <w:rFonts w:eastAsia="新細明體" w:hint="eastAsia"/>
          <w:b/>
          <w:lang w:val="en-US"/>
        </w:rPr>
        <w:t>有關證券的交易披露</w:t>
      </w:r>
    </w:p>
    <w:p w:rsidR="002129FD" w:rsidRDefault="00B06F84" w:rsidP="00C93794">
      <w:pPr>
        <w:pStyle w:val="SFCNormal"/>
      </w:pPr>
      <w:r w:rsidRPr="00B06F84">
        <w:rPr>
          <w:rFonts w:hint="eastAsia"/>
        </w:rPr>
        <w:t>執行人員接獲依據香港《公司收購及合併守則》規則</w:t>
      </w:r>
      <w:r w:rsidRPr="00B06F84">
        <w:t>22</w:t>
      </w:r>
      <w:r w:rsidRPr="00B06F84">
        <w:rPr>
          <w:rFonts w:hint="eastAsia"/>
        </w:rPr>
        <w:t>作出以下的證券交易的披露：</w:t>
      </w:r>
    </w:p>
    <w:p w:rsidR="00E54629" w:rsidRDefault="00E54629" w:rsidP="00C93794">
      <w:pPr>
        <w:pStyle w:val="SFCNorma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028"/>
        <w:gridCol w:w="2337"/>
        <w:gridCol w:w="2072"/>
        <w:gridCol w:w="1421"/>
        <w:gridCol w:w="1646"/>
        <w:gridCol w:w="4592"/>
      </w:tblGrid>
      <w:tr w:rsidR="00E54629" w:rsidRPr="00315312" w:rsidTr="001270D1">
        <w:tc>
          <w:tcPr>
            <w:tcW w:w="719" w:type="pct"/>
          </w:tcPr>
          <w:p w:rsidR="00E54629" w:rsidRPr="00315312" w:rsidRDefault="00E54629" w:rsidP="00E54629">
            <w:pPr>
              <w:pStyle w:val="Heading1"/>
            </w:pPr>
            <w:r w:rsidRPr="00871BAE">
              <w:rPr>
                <w:rFonts w:hint="eastAsia"/>
              </w:rPr>
              <w:t>交易方</w:t>
            </w:r>
          </w:p>
        </w:tc>
        <w:tc>
          <w:tcPr>
            <w:tcW w:w="829" w:type="pct"/>
          </w:tcPr>
          <w:p w:rsidR="00E54629" w:rsidRPr="00315312" w:rsidRDefault="00E54629" w:rsidP="00263306">
            <w:pPr>
              <w:keepNext/>
              <w:tabs>
                <w:tab w:val="left" w:pos="7200"/>
              </w:tabs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rFonts w:eastAsia="細明體"/>
                <w:b/>
              </w:rPr>
            </w:pPr>
            <w:r w:rsidRPr="00871BAE">
              <w:rPr>
                <w:rFonts w:hint="eastAsia"/>
                <w:b/>
              </w:rPr>
              <w:t>日期</w:t>
            </w:r>
            <w:r w:rsidRPr="00315312">
              <w:rPr>
                <w:b/>
              </w:rPr>
              <w:t xml:space="preserve"> </w:t>
            </w:r>
          </w:p>
        </w:tc>
        <w:tc>
          <w:tcPr>
            <w:tcW w:w="735" w:type="pct"/>
          </w:tcPr>
          <w:p w:rsidR="00E54629" w:rsidRPr="00315312" w:rsidRDefault="00E54629" w:rsidP="00263306">
            <w:pPr>
              <w:keepNext/>
              <w:tabs>
                <w:tab w:val="left" w:pos="7200"/>
              </w:tabs>
              <w:autoSpaceDE w:val="0"/>
              <w:autoSpaceDN w:val="0"/>
              <w:adjustRightInd w:val="0"/>
              <w:spacing w:line="240" w:lineRule="atLeast"/>
              <w:ind w:left="56"/>
              <w:jc w:val="center"/>
              <w:rPr>
                <w:rFonts w:eastAsia="細明體"/>
                <w:b/>
              </w:rPr>
            </w:pPr>
            <w:r w:rsidRPr="00871BAE">
              <w:rPr>
                <w:rFonts w:eastAsia="細明體" w:hint="eastAsia"/>
                <w:b/>
              </w:rPr>
              <w:t>有關證券的</w:t>
            </w:r>
            <w:proofErr w:type="spellStart"/>
            <w:r>
              <w:rPr>
                <w:rFonts w:hint="eastAsia"/>
                <w:b/>
                <w:lang w:eastAsia="zh-TW"/>
              </w:rPr>
              <w:t>說明</w:t>
            </w:r>
            <w:proofErr w:type="spellEnd"/>
          </w:p>
        </w:tc>
        <w:tc>
          <w:tcPr>
            <w:tcW w:w="504" w:type="pct"/>
          </w:tcPr>
          <w:p w:rsidR="00E54629" w:rsidRPr="00315312" w:rsidRDefault="00E54629" w:rsidP="00263306">
            <w:pPr>
              <w:keepNext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細明體"/>
                <w:b/>
              </w:rPr>
            </w:pPr>
            <w:r w:rsidRPr="00871BAE">
              <w:rPr>
                <w:rFonts w:hint="eastAsia"/>
                <w:b/>
              </w:rPr>
              <w:t>買／賣</w:t>
            </w:r>
          </w:p>
        </w:tc>
        <w:tc>
          <w:tcPr>
            <w:tcW w:w="584" w:type="pct"/>
          </w:tcPr>
          <w:p w:rsidR="00E54629" w:rsidRPr="00315312" w:rsidRDefault="00E54629" w:rsidP="00263306">
            <w:pPr>
              <w:keepNext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細明體"/>
                <w:b/>
              </w:rPr>
            </w:pPr>
            <w:r w:rsidRPr="00871BAE">
              <w:rPr>
                <w:rFonts w:eastAsia="細明體" w:hint="eastAsia"/>
                <w:b/>
              </w:rPr>
              <w:t>證券</w:t>
            </w:r>
            <w:r>
              <w:rPr>
                <w:rFonts w:eastAsia="細明體" w:hint="eastAsia"/>
                <w:b/>
                <w:lang w:eastAsia="zh-TW"/>
              </w:rPr>
              <w:t>總</w:t>
            </w:r>
            <w:r w:rsidRPr="00871BAE">
              <w:rPr>
                <w:rFonts w:eastAsia="細明體" w:hint="eastAsia"/>
                <w:b/>
              </w:rPr>
              <w:t>數</w:t>
            </w:r>
          </w:p>
          <w:p w:rsidR="00E54629" w:rsidRPr="00315312" w:rsidRDefault="00E54629" w:rsidP="00263306">
            <w:pPr>
              <w:keepNext/>
              <w:autoSpaceDE w:val="0"/>
              <w:autoSpaceDN w:val="0"/>
              <w:adjustRightInd w:val="0"/>
              <w:spacing w:line="240" w:lineRule="atLeast"/>
              <w:jc w:val="center"/>
              <w:rPr>
                <w:rFonts w:eastAsia="細明體"/>
                <w:b/>
              </w:rPr>
            </w:pPr>
          </w:p>
        </w:tc>
        <w:tc>
          <w:tcPr>
            <w:tcW w:w="1629" w:type="pct"/>
          </w:tcPr>
          <w:p w:rsidR="00E54629" w:rsidRPr="00315312" w:rsidRDefault="00E54629" w:rsidP="00263306">
            <w:pPr>
              <w:autoSpaceDE w:val="0"/>
              <w:autoSpaceDN w:val="0"/>
              <w:adjustRightInd w:val="0"/>
              <w:spacing w:line="240" w:lineRule="atLeast"/>
              <w:ind w:left="-3"/>
              <w:jc w:val="center"/>
              <w:rPr>
                <w:rFonts w:eastAsia="細明體"/>
                <w:b/>
                <w:lang w:eastAsia="zh-TW"/>
              </w:rPr>
            </w:pPr>
            <w:r w:rsidRPr="00871BAE">
              <w:rPr>
                <w:rFonts w:hint="eastAsia"/>
                <w:b/>
                <w:lang w:eastAsia="zh-TW"/>
              </w:rPr>
              <w:t>已支付或收取的最高價(H)及最低價(L)</w:t>
            </w:r>
          </w:p>
        </w:tc>
      </w:tr>
      <w:tr w:rsidR="000F521F" w:rsidRPr="00315312" w:rsidTr="001270D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1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521F" w:rsidRPr="00A60F23" w:rsidRDefault="000F521F" w:rsidP="001270D1">
            <w:pPr>
              <w:pStyle w:val="BodyText2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Morgan Stanley Asia Limited</w:t>
            </w: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0F521F" w:rsidRPr="002912D2" w:rsidRDefault="000F521F" w:rsidP="001270D1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eastAsia="新細明體" w:cs="Arial"/>
                <w:lang w:eastAsia="zh-TW"/>
              </w:rPr>
              <w:t>2013</w:t>
            </w:r>
            <w:r>
              <w:rPr>
                <w:rFonts w:eastAsia="新細明體" w:cs="Arial" w:hint="eastAsia"/>
                <w:lang w:eastAsia="zh-TW"/>
              </w:rPr>
              <w:t>年</w:t>
            </w:r>
            <w:r>
              <w:rPr>
                <w:rFonts w:eastAsia="新細明體" w:cs="Arial"/>
                <w:lang w:eastAsia="zh-TW"/>
              </w:rPr>
              <w:t>5</w:t>
            </w:r>
            <w:r>
              <w:rPr>
                <w:rFonts w:eastAsia="新細明體" w:cs="Arial" w:hint="eastAsia"/>
                <w:lang w:eastAsia="zh-TW"/>
              </w:rPr>
              <w:t>月</w:t>
            </w:r>
            <w:r>
              <w:rPr>
                <w:rFonts w:eastAsia="新細明體" w:cs="Arial"/>
                <w:lang w:eastAsia="zh-TW"/>
              </w:rPr>
              <w:t>2</w:t>
            </w:r>
            <w:r w:rsidR="009355DF">
              <w:rPr>
                <w:rFonts w:eastAsia="新細明體" w:cs="Arial"/>
                <w:lang w:eastAsia="zh-TW"/>
              </w:rPr>
              <w:t>7</w:t>
            </w:r>
            <w:r>
              <w:rPr>
                <w:rFonts w:eastAsia="新細明體" w:cs="Arial" w:hint="eastAsia"/>
                <w:lang w:eastAsia="zh-TW"/>
              </w:rPr>
              <w:t>日</w:t>
            </w:r>
          </w:p>
          <w:p w:rsidR="000F521F" w:rsidRPr="00315312" w:rsidRDefault="000F521F" w:rsidP="001270D1">
            <w:pPr>
              <w:jc w:val="center"/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</w:tcPr>
          <w:p w:rsidR="000F521F" w:rsidRPr="00315312" w:rsidRDefault="000F521F" w:rsidP="001270D1">
            <w:pPr>
              <w:jc w:val="center"/>
            </w:pPr>
            <w:r w:rsidRPr="00533CC5">
              <w:rPr>
                <w:rFonts w:ascii="細明體" w:eastAsia="細明體" w:hAnsi="細明體" w:cs="細明體" w:hint="eastAsia"/>
              </w:rPr>
              <w:t>普通股</w:t>
            </w:r>
            <w:r w:rsidRPr="00D62936">
              <w:rPr>
                <w:rFonts w:eastAsia="細明體" w:cs="Arial"/>
                <w:vertAlign w:val="superscript"/>
              </w:rPr>
              <w:t>2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</w:tcPr>
          <w:p w:rsidR="000F521F" w:rsidRPr="00533CC5" w:rsidRDefault="000F521F" w:rsidP="001270D1">
            <w:pPr>
              <w:tabs>
                <w:tab w:val="left" w:pos="1485"/>
                <w:tab w:val="center" w:pos="1710"/>
                <w:tab w:val="center" w:pos="4680"/>
                <w:tab w:val="center" w:pos="7200"/>
              </w:tabs>
              <w:jc w:val="center"/>
              <w:rPr>
                <w:rFonts w:ascii="細明體" w:eastAsia="細明體" w:hAnsi="細明體" w:cs="細明體"/>
              </w:rPr>
            </w:pPr>
            <w:r w:rsidRPr="000F521F">
              <w:rPr>
                <w:rFonts w:ascii="細明體" w:eastAsia="細明體" w:hAnsi="細明體" w:cs="細明體" w:hint="eastAsia"/>
              </w:rPr>
              <w:t>賣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1F" w:rsidRDefault="000F521F" w:rsidP="00384EEC">
            <w:pPr>
              <w:jc w:val="center"/>
              <w:rPr>
                <w:rFonts w:eastAsia="絡遺羹"/>
              </w:rPr>
            </w:pPr>
            <w:r>
              <w:t>6,000</w:t>
            </w:r>
          </w:p>
          <w:p w:rsidR="000F521F" w:rsidRPr="00315312" w:rsidRDefault="000F521F" w:rsidP="00384EEC">
            <w:pPr>
              <w:tabs>
                <w:tab w:val="left" w:pos="1485"/>
                <w:tab w:val="center" w:pos="1710"/>
                <w:tab w:val="center" w:pos="4680"/>
                <w:tab w:val="center" w:pos="7200"/>
              </w:tabs>
              <w:jc w:val="center"/>
              <w:rPr>
                <w:rFonts w:eastAsia="'宋体"/>
                <w:lang w:eastAsia="zh-TW"/>
              </w:rPr>
            </w:pPr>
          </w:p>
        </w:tc>
        <w:tc>
          <w:tcPr>
            <w:tcW w:w="1629" w:type="pct"/>
            <w:tcBorders>
              <w:left w:val="single" w:sz="4" w:space="0" w:color="auto"/>
              <w:right w:val="single" w:sz="4" w:space="0" w:color="auto"/>
            </w:tcBorders>
          </w:tcPr>
          <w:p w:rsidR="000F521F" w:rsidRPr="00655E34" w:rsidRDefault="000F521F" w:rsidP="001270D1">
            <w:pPr>
              <w:jc w:val="center"/>
              <w:rPr>
                <w:rFonts w:eastAsia="新細明體"/>
                <w:lang w:eastAsia="zh-TW"/>
              </w:rPr>
            </w:pPr>
            <w:r w:rsidRPr="00871BAE">
              <w:rPr>
                <w:rFonts w:hint="eastAsia"/>
              </w:rPr>
              <w:t>(</w:t>
            </w:r>
            <w:r w:rsidRPr="00871BAE">
              <w:rPr>
                <w:rFonts w:ascii="細明體" w:eastAsia="細明體" w:hAnsi="細明體" w:cs="細明體" w:hint="eastAsia"/>
              </w:rPr>
              <w:t>最高價</w:t>
            </w:r>
            <w:r w:rsidRPr="00871BAE">
              <w:rPr>
                <w:rFonts w:cs="Arial"/>
              </w:rPr>
              <w:t>)</w:t>
            </w:r>
            <w:r w:rsidR="009355DF">
              <w:t xml:space="preserve"> 19.48</w:t>
            </w:r>
          </w:p>
          <w:p w:rsidR="000F521F" w:rsidRPr="000F521F" w:rsidRDefault="000F521F" w:rsidP="000F521F">
            <w:pPr>
              <w:jc w:val="center"/>
            </w:pPr>
            <w:r w:rsidRPr="00871BAE">
              <w:rPr>
                <w:rFonts w:hint="eastAsia"/>
              </w:rPr>
              <w:t>(</w:t>
            </w:r>
            <w:r w:rsidRPr="00871BAE">
              <w:rPr>
                <w:rFonts w:ascii="細明體" w:eastAsia="細明體" w:hAnsi="細明體" w:cs="細明體" w:hint="eastAsia"/>
              </w:rPr>
              <w:t>最低價</w:t>
            </w:r>
            <w:r w:rsidRPr="00871BAE">
              <w:rPr>
                <w:rFonts w:cs="Arial"/>
              </w:rPr>
              <w:t>)</w:t>
            </w:r>
            <w:r>
              <w:t xml:space="preserve"> 19.4</w:t>
            </w:r>
            <w:r w:rsidR="009355DF">
              <w:t>8</w:t>
            </w:r>
          </w:p>
        </w:tc>
      </w:tr>
      <w:tr w:rsidR="000F521F" w:rsidRPr="00315312" w:rsidTr="001270D1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7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21F" w:rsidRDefault="000F521F" w:rsidP="001270D1">
            <w:pPr>
              <w:pStyle w:val="BodyText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9" w:type="pct"/>
            <w:tcBorders>
              <w:left w:val="single" w:sz="4" w:space="0" w:color="auto"/>
              <w:right w:val="single" w:sz="4" w:space="0" w:color="auto"/>
            </w:tcBorders>
          </w:tcPr>
          <w:p w:rsidR="000F521F" w:rsidRPr="002912D2" w:rsidRDefault="000F521F" w:rsidP="00384EEC">
            <w:pPr>
              <w:jc w:val="center"/>
              <w:rPr>
                <w:rFonts w:ascii="新細明體" w:eastAsia="新細明體" w:hAnsi="新細明體"/>
                <w:lang w:eastAsia="zh-TW"/>
              </w:rPr>
            </w:pPr>
            <w:r>
              <w:rPr>
                <w:rFonts w:eastAsia="新細明體" w:cs="Arial"/>
                <w:lang w:eastAsia="zh-TW"/>
              </w:rPr>
              <w:t>2013</w:t>
            </w:r>
            <w:r>
              <w:rPr>
                <w:rFonts w:eastAsia="新細明體" w:cs="Arial" w:hint="eastAsia"/>
                <w:lang w:eastAsia="zh-TW"/>
              </w:rPr>
              <w:t>年</w:t>
            </w:r>
            <w:r>
              <w:rPr>
                <w:rFonts w:eastAsia="新細明體" w:cs="Arial"/>
                <w:lang w:eastAsia="zh-TW"/>
              </w:rPr>
              <w:t>5</w:t>
            </w:r>
            <w:r>
              <w:rPr>
                <w:rFonts w:eastAsia="新細明體" w:cs="Arial" w:hint="eastAsia"/>
                <w:lang w:eastAsia="zh-TW"/>
              </w:rPr>
              <w:t>月</w:t>
            </w:r>
            <w:r w:rsidR="009355DF">
              <w:rPr>
                <w:rFonts w:eastAsia="新細明體" w:cs="Arial"/>
                <w:lang w:eastAsia="zh-TW"/>
              </w:rPr>
              <w:t>27</w:t>
            </w:r>
            <w:r>
              <w:rPr>
                <w:rFonts w:eastAsia="新細明體" w:cs="Arial" w:hint="eastAsia"/>
                <w:lang w:eastAsia="zh-TW"/>
              </w:rPr>
              <w:t>日</w:t>
            </w:r>
          </w:p>
          <w:p w:rsidR="000F521F" w:rsidRPr="00315312" w:rsidRDefault="000F521F" w:rsidP="00384EEC">
            <w:pPr>
              <w:jc w:val="center"/>
            </w:pPr>
          </w:p>
        </w:tc>
        <w:tc>
          <w:tcPr>
            <w:tcW w:w="735" w:type="pct"/>
            <w:tcBorders>
              <w:left w:val="single" w:sz="4" w:space="0" w:color="auto"/>
              <w:right w:val="single" w:sz="4" w:space="0" w:color="auto"/>
            </w:tcBorders>
          </w:tcPr>
          <w:p w:rsidR="000F521F" w:rsidRPr="00315312" w:rsidRDefault="000F521F" w:rsidP="00384EEC">
            <w:pPr>
              <w:jc w:val="center"/>
            </w:pPr>
            <w:r w:rsidRPr="00533CC5">
              <w:rPr>
                <w:rFonts w:ascii="細明體" w:eastAsia="細明體" w:hAnsi="細明體" w:cs="細明體" w:hint="eastAsia"/>
              </w:rPr>
              <w:t>普通股</w:t>
            </w:r>
            <w:r>
              <w:rPr>
                <w:rFonts w:eastAsia="細明體" w:cs="Arial"/>
                <w:vertAlign w:val="superscript"/>
              </w:rPr>
              <w:t>3</w:t>
            </w:r>
          </w:p>
        </w:tc>
        <w:tc>
          <w:tcPr>
            <w:tcW w:w="504" w:type="pct"/>
            <w:tcBorders>
              <w:left w:val="single" w:sz="4" w:space="0" w:color="auto"/>
              <w:right w:val="single" w:sz="4" w:space="0" w:color="auto"/>
            </w:tcBorders>
          </w:tcPr>
          <w:p w:rsidR="000F521F" w:rsidRPr="00533CC5" w:rsidRDefault="000F521F" w:rsidP="00384EEC">
            <w:pPr>
              <w:tabs>
                <w:tab w:val="left" w:pos="1485"/>
                <w:tab w:val="center" w:pos="1710"/>
                <w:tab w:val="center" w:pos="4680"/>
                <w:tab w:val="center" w:pos="7200"/>
              </w:tabs>
              <w:jc w:val="center"/>
              <w:rPr>
                <w:rFonts w:ascii="細明體" w:eastAsia="細明體" w:hAnsi="細明體" w:cs="細明體"/>
              </w:rPr>
            </w:pPr>
            <w:r w:rsidRPr="00245B92">
              <w:rPr>
                <w:rFonts w:ascii="細明體" w:eastAsia="細明體" w:hAnsi="細明體" w:cs="細明體" w:hint="eastAsia"/>
              </w:rPr>
              <w:t>買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21F" w:rsidRDefault="009355DF" w:rsidP="00384EEC">
            <w:pPr>
              <w:jc w:val="center"/>
              <w:rPr>
                <w:rFonts w:eastAsia="絡遺羹"/>
              </w:rPr>
            </w:pPr>
            <w:r>
              <w:t>48</w:t>
            </w:r>
            <w:r w:rsidR="000F521F">
              <w:t>,000</w:t>
            </w:r>
          </w:p>
          <w:p w:rsidR="000F521F" w:rsidRPr="00315312" w:rsidRDefault="000F521F" w:rsidP="00384EEC">
            <w:pPr>
              <w:tabs>
                <w:tab w:val="left" w:pos="1485"/>
                <w:tab w:val="center" w:pos="1710"/>
                <w:tab w:val="center" w:pos="4680"/>
                <w:tab w:val="center" w:pos="7200"/>
              </w:tabs>
              <w:jc w:val="center"/>
              <w:rPr>
                <w:rFonts w:eastAsia="'宋体"/>
                <w:lang w:eastAsia="zh-TW"/>
              </w:rPr>
            </w:pPr>
          </w:p>
        </w:tc>
        <w:tc>
          <w:tcPr>
            <w:tcW w:w="1629" w:type="pct"/>
            <w:tcBorders>
              <w:left w:val="single" w:sz="4" w:space="0" w:color="auto"/>
              <w:right w:val="single" w:sz="4" w:space="0" w:color="auto"/>
            </w:tcBorders>
          </w:tcPr>
          <w:p w:rsidR="000F521F" w:rsidRPr="00655E34" w:rsidRDefault="000F521F" w:rsidP="00384EEC">
            <w:pPr>
              <w:jc w:val="center"/>
              <w:rPr>
                <w:rFonts w:eastAsia="新細明體"/>
                <w:lang w:eastAsia="zh-TW"/>
              </w:rPr>
            </w:pPr>
            <w:r w:rsidRPr="00871BAE">
              <w:rPr>
                <w:rFonts w:hint="eastAsia"/>
              </w:rPr>
              <w:t>(</w:t>
            </w:r>
            <w:r w:rsidRPr="00871BAE">
              <w:rPr>
                <w:rFonts w:ascii="細明體" w:eastAsia="細明體" w:hAnsi="細明體" w:cs="細明體" w:hint="eastAsia"/>
              </w:rPr>
              <w:t>最高價</w:t>
            </w:r>
            <w:r w:rsidRPr="00871BAE">
              <w:rPr>
                <w:rFonts w:cs="Arial"/>
              </w:rPr>
              <w:t>)</w:t>
            </w:r>
            <w:r w:rsidR="009355DF">
              <w:t xml:space="preserve"> 19.58</w:t>
            </w:r>
          </w:p>
          <w:p w:rsidR="000F521F" w:rsidRPr="000F521F" w:rsidRDefault="000F521F" w:rsidP="000F521F">
            <w:pPr>
              <w:jc w:val="center"/>
            </w:pPr>
            <w:r w:rsidRPr="00871BAE">
              <w:rPr>
                <w:rFonts w:hint="eastAsia"/>
              </w:rPr>
              <w:t>(</w:t>
            </w:r>
            <w:r w:rsidRPr="00871BAE">
              <w:rPr>
                <w:rFonts w:ascii="細明體" w:eastAsia="細明體" w:hAnsi="細明體" w:cs="細明體" w:hint="eastAsia"/>
              </w:rPr>
              <w:t>最低價</w:t>
            </w:r>
            <w:r w:rsidRPr="00871BAE">
              <w:rPr>
                <w:rFonts w:cs="Arial"/>
              </w:rPr>
              <w:t>)</w:t>
            </w:r>
            <w:r>
              <w:t xml:space="preserve"> 19.</w:t>
            </w:r>
            <w:r w:rsidR="009355DF">
              <w:t>38</w:t>
            </w:r>
          </w:p>
        </w:tc>
      </w:tr>
    </w:tbl>
    <w:p w:rsidR="002912D2" w:rsidRDefault="002912D2" w:rsidP="00606ABD">
      <w:pPr>
        <w:jc w:val="both"/>
        <w:rPr>
          <w:rFonts w:ascii="新細明體" w:eastAsia="新細明體" w:hAnsi="新細明體"/>
          <w:color w:val="000000"/>
        </w:rPr>
      </w:pPr>
    </w:p>
    <w:p w:rsidR="00606ABD" w:rsidRDefault="00606ABD" w:rsidP="00606ABD">
      <w:pPr>
        <w:jc w:val="both"/>
        <w:rPr>
          <w:rFonts w:ascii="新細明體" w:eastAsia="新細明體" w:hAnsi="新細明體"/>
          <w:color w:val="000000"/>
          <w:lang w:eastAsia="zh-TW"/>
        </w:rPr>
      </w:pPr>
      <w:r>
        <w:rPr>
          <w:rFonts w:ascii="新細明體" w:eastAsia="新細明體" w:hAnsi="新細明體" w:hint="eastAsia"/>
          <w:color w:val="000000"/>
          <w:lang w:eastAsia="zh-TW"/>
        </w:rPr>
        <w:t>完</w:t>
      </w:r>
    </w:p>
    <w:p w:rsidR="00606ABD" w:rsidRDefault="00606ABD" w:rsidP="00606ABD">
      <w:pPr>
        <w:jc w:val="both"/>
        <w:rPr>
          <w:rFonts w:ascii="新細明體" w:eastAsia="新細明體" w:hAnsi="新細明體"/>
          <w:color w:val="000000"/>
          <w:lang w:eastAsia="zh-TW"/>
        </w:rPr>
      </w:pPr>
    </w:p>
    <w:p w:rsidR="002756D1" w:rsidRPr="00B41994" w:rsidRDefault="002756D1" w:rsidP="00606ABD">
      <w:pPr>
        <w:jc w:val="both"/>
        <w:rPr>
          <w:rFonts w:ascii="新細明體" w:eastAsia="新細明體" w:hAnsi="新細明體"/>
          <w:color w:val="000000"/>
          <w:lang w:eastAsia="zh-TW"/>
        </w:rPr>
      </w:pPr>
    </w:p>
    <w:p w:rsidR="00FF4FE7" w:rsidRDefault="002912D2" w:rsidP="00FF4FE7">
      <w:pPr>
        <w:spacing w:after="100"/>
        <w:rPr>
          <w:rFonts w:eastAsia="新細明體"/>
          <w:lang w:eastAsia="zh-TW"/>
        </w:rPr>
      </w:pPr>
      <w:r w:rsidRPr="00B41994">
        <w:rPr>
          <w:rFonts w:eastAsia="新細明體"/>
          <w:lang w:eastAsia="zh-TW"/>
        </w:rPr>
        <w:t>備註：</w:t>
      </w:r>
    </w:p>
    <w:p w:rsidR="00143C79" w:rsidRPr="00D315D6" w:rsidRDefault="00D315D6" w:rsidP="000F521F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ind w:hanging="720"/>
        <w:rPr>
          <w:rFonts w:ascii="細明體" w:eastAsia="細明體" w:hAnsi="細明體" w:cs="Arial"/>
        </w:rPr>
      </w:pPr>
      <w:r w:rsidRPr="000F521F">
        <w:rPr>
          <w:rFonts w:ascii="細明體" w:eastAsia="細明體" w:hAnsi="細明體" w:cs="Arial"/>
        </w:rPr>
        <w:t xml:space="preserve">Morgan Stanley Asia </w:t>
      </w:r>
      <w:proofErr w:type="gramStart"/>
      <w:r w:rsidRPr="000F521F">
        <w:rPr>
          <w:rFonts w:ascii="細明體" w:eastAsia="細明體" w:hAnsi="細明體" w:cs="Arial"/>
        </w:rPr>
        <w:t>Limited</w:t>
      </w:r>
      <w:r w:rsidR="001270D1" w:rsidRPr="000F521F">
        <w:rPr>
          <w:rFonts w:ascii="細明體" w:eastAsia="細明體" w:hAnsi="細明體" w:cs="Arial"/>
        </w:rPr>
        <w:t>是與</w:t>
      </w:r>
      <w:r w:rsidRPr="000F521F">
        <w:rPr>
          <w:rFonts w:ascii="細明體" w:eastAsia="細明體" w:hAnsi="細明體" w:cs="Arial" w:hint="eastAsia"/>
        </w:rPr>
        <w:t>要約人</w:t>
      </w:r>
      <w:r w:rsidR="001270D1" w:rsidRPr="000F521F">
        <w:rPr>
          <w:rFonts w:ascii="細明體" w:eastAsia="細明體" w:hAnsi="細明體" w:cs="Arial"/>
        </w:rPr>
        <w:t>有關連的獲豁免自營買賣商</w:t>
      </w:r>
      <w:r w:rsidR="00644BF8" w:rsidRPr="000F521F">
        <w:rPr>
          <w:rFonts w:ascii="細明體" w:eastAsia="細明體" w:hAnsi="細明體" w:cs="Arial"/>
        </w:rPr>
        <w:t>和是屬第(</w:t>
      </w:r>
      <w:proofErr w:type="gramEnd"/>
      <w:r w:rsidR="00644BF8" w:rsidRPr="000F521F">
        <w:rPr>
          <w:rFonts w:ascii="細明體" w:eastAsia="細明體" w:hAnsi="細明體" w:cs="Arial"/>
        </w:rPr>
        <w:t>2)項為</w:t>
      </w:r>
      <w:r w:rsidR="000F521F" w:rsidRPr="000F521F">
        <w:rPr>
          <w:rFonts w:ascii="細明體" w:eastAsia="細明體" w:hAnsi="細明體" w:cs="Arial" w:hint="eastAsia"/>
        </w:rPr>
        <w:t>要約人</w:t>
      </w:r>
      <w:r w:rsidR="00644BF8" w:rsidRPr="000F521F">
        <w:rPr>
          <w:rFonts w:ascii="細明體" w:eastAsia="細明體" w:hAnsi="細明體" w:cs="Arial"/>
        </w:rPr>
        <w:t>的聯繫人</w:t>
      </w:r>
      <w:r w:rsidR="001270D1" w:rsidRPr="000F521F">
        <w:rPr>
          <w:rFonts w:ascii="細明體" w:eastAsia="細明體" w:hAnsi="細明體" w:cs="Arial"/>
        </w:rPr>
        <w:t>。</w:t>
      </w:r>
    </w:p>
    <w:p w:rsidR="000F521F" w:rsidRPr="000F521F" w:rsidRDefault="000F521F" w:rsidP="00D315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ind w:hanging="720"/>
        <w:rPr>
          <w:rFonts w:ascii="細明體" w:eastAsia="細明體" w:hAnsi="細明體" w:cs="Arial"/>
        </w:rPr>
      </w:pPr>
      <w:r w:rsidRPr="000F521F">
        <w:rPr>
          <w:rFonts w:ascii="細明體" w:eastAsia="細明體" w:hAnsi="細明體" w:cs="新細明體" w:hint="eastAsia"/>
          <w:color w:val="000000"/>
        </w:rPr>
        <w:t>就既有的客戶掉期交易進行無風險的還原對沖。</w:t>
      </w:r>
    </w:p>
    <w:p w:rsidR="000F521F" w:rsidRPr="00D315D6" w:rsidRDefault="000F521F" w:rsidP="00D315D6">
      <w:pPr>
        <w:numPr>
          <w:ilvl w:val="0"/>
          <w:numId w:val="6"/>
        </w:numPr>
        <w:autoSpaceDE w:val="0"/>
        <w:autoSpaceDN w:val="0"/>
        <w:adjustRightInd w:val="0"/>
        <w:spacing w:after="120" w:line="240" w:lineRule="atLeast"/>
        <w:ind w:hanging="720"/>
        <w:rPr>
          <w:rFonts w:ascii="細明體" w:eastAsia="細明體" w:hAnsi="細明體" w:cs="Arial"/>
        </w:rPr>
      </w:pPr>
      <w:r w:rsidRPr="000F521F">
        <w:rPr>
          <w:rFonts w:ascii="細明體" w:eastAsia="細明體" w:hAnsi="細明體" w:cs="Arial" w:hint="eastAsia"/>
        </w:rPr>
        <w:t>就既有的客戶掉期交易進行無風險的對沖。</w:t>
      </w:r>
    </w:p>
    <w:p w:rsidR="001270D1" w:rsidRPr="001270D1" w:rsidRDefault="001270D1" w:rsidP="00061289">
      <w:pPr>
        <w:pStyle w:val="SFCNumbering"/>
        <w:numPr>
          <w:ilvl w:val="0"/>
          <w:numId w:val="0"/>
        </w:numPr>
        <w:tabs>
          <w:tab w:val="clear" w:pos="5040"/>
        </w:tabs>
        <w:ind w:left="720"/>
      </w:pPr>
    </w:p>
    <w:sectPr w:rsidR="001270D1" w:rsidRPr="001270D1" w:rsidSect="00127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899" w:orient="landscape" w:code="9"/>
      <w:pgMar w:top="2606" w:right="1411" w:bottom="720" w:left="1411" w:header="850" w:footer="50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91C" w:rsidRDefault="006C291C">
      <w:r>
        <w:separator/>
      </w:r>
    </w:p>
    <w:p w:rsidR="006C291C" w:rsidRDefault="006C291C"/>
    <w:p w:rsidR="006C291C" w:rsidRDefault="006C291C"/>
  </w:endnote>
  <w:endnote w:type="continuationSeparator" w:id="0">
    <w:p w:rsidR="006C291C" w:rsidRDefault="006C291C">
      <w:r>
        <w:continuationSeparator/>
      </w:r>
    </w:p>
    <w:p w:rsidR="006C291C" w:rsidRDefault="006C291C"/>
    <w:p w:rsidR="006C291C" w:rsidRDefault="006C29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'宋體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Hei-Bold-Identity-H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'宋体">
    <w:altName w:val="Arial Unicode MS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1C" w:rsidRDefault="006C291C">
    <w:pPr>
      <w:pStyle w:val="Footer"/>
    </w:pPr>
  </w:p>
  <w:p w:rsidR="006C291C" w:rsidRDefault="006C291C"/>
  <w:p w:rsidR="006C291C" w:rsidRDefault="006C291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1C" w:rsidRPr="005F069B" w:rsidRDefault="006C291C" w:rsidP="00EF1BBF">
    <w:pPr>
      <w:pStyle w:val="Footer"/>
      <w:pBdr>
        <w:top w:val="single" w:sz="4" w:space="1" w:color="235761"/>
      </w:pBdr>
      <w:tabs>
        <w:tab w:val="clear" w:pos="4320"/>
        <w:tab w:val="clear" w:pos="8640"/>
        <w:tab w:val="left" w:pos="1420"/>
        <w:tab w:val="left" w:pos="3692"/>
        <w:tab w:val="left" w:pos="5822"/>
      </w:tabs>
      <w:jc w:val="right"/>
      <w:rPr>
        <w:color w:val="333333"/>
        <w:sz w:val="16"/>
      </w:rPr>
    </w:pPr>
    <w:r w:rsidRPr="007B0805">
      <w:tab/>
    </w:r>
    <w:r w:rsidR="008A6591" w:rsidRPr="005F069B">
      <w:rPr>
        <w:color w:val="333333"/>
        <w:sz w:val="16"/>
      </w:rPr>
      <w:fldChar w:fldCharType="begin"/>
    </w:r>
    <w:r w:rsidRPr="005F069B">
      <w:rPr>
        <w:color w:val="333333"/>
        <w:sz w:val="16"/>
      </w:rPr>
      <w:instrText xml:space="preserve"> PAGE </w:instrText>
    </w:r>
    <w:r w:rsidR="008A6591" w:rsidRPr="005F069B">
      <w:rPr>
        <w:color w:val="333333"/>
        <w:sz w:val="16"/>
      </w:rPr>
      <w:fldChar w:fldCharType="separate"/>
    </w:r>
    <w:r w:rsidR="000F521F">
      <w:rPr>
        <w:noProof/>
        <w:color w:val="333333"/>
        <w:sz w:val="16"/>
      </w:rPr>
      <w:t>2</w:t>
    </w:r>
    <w:r w:rsidR="008A6591" w:rsidRPr="005F069B">
      <w:rPr>
        <w:color w:val="333333"/>
        <w:sz w:val="16"/>
      </w:rPr>
      <w:fldChar w:fldCharType="end"/>
    </w:r>
    <w:r w:rsidRPr="005F069B">
      <w:rPr>
        <w:color w:val="333333"/>
        <w:sz w:val="16"/>
      </w:rPr>
      <w:t xml:space="preserve"> of </w:t>
    </w:r>
    <w:r w:rsidR="008A6591" w:rsidRPr="005F069B">
      <w:rPr>
        <w:color w:val="333333"/>
        <w:sz w:val="16"/>
      </w:rPr>
      <w:fldChar w:fldCharType="begin"/>
    </w:r>
    <w:r w:rsidRPr="005F069B">
      <w:rPr>
        <w:color w:val="333333"/>
        <w:sz w:val="16"/>
      </w:rPr>
      <w:instrText xml:space="preserve"> NUMPAGES </w:instrText>
    </w:r>
    <w:r w:rsidR="008A6591" w:rsidRPr="005F069B">
      <w:rPr>
        <w:color w:val="333333"/>
        <w:sz w:val="16"/>
      </w:rPr>
      <w:fldChar w:fldCharType="separate"/>
    </w:r>
    <w:r w:rsidR="00646767">
      <w:rPr>
        <w:noProof/>
        <w:color w:val="333333"/>
        <w:sz w:val="16"/>
      </w:rPr>
      <w:t>1</w:t>
    </w:r>
    <w:r w:rsidR="008A6591" w:rsidRPr="005F069B">
      <w:rPr>
        <w:color w:val="333333"/>
        <w:sz w:val="16"/>
      </w:rPr>
      <w:fldChar w:fldCharType="end"/>
    </w:r>
  </w:p>
  <w:p w:rsidR="006C291C" w:rsidRPr="005F069B" w:rsidRDefault="006C291C" w:rsidP="00EF1BBF">
    <w:pPr>
      <w:pStyle w:val="Footer"/>
      <w:pBdr>
        <w:top w:val="single" w:sz="4" w:space="1" w:color="235761"/>
      </w:pBdr>
      <w:tabs>
        <w:tab w:val="clear" w:pos="4320"/>
        <w:tab w:val="clear" w:pos="8640"/>
        <w:tab w:val="left" w:pos="1420"/>
        <w:tab w:val="left" w:pos="3692"/>
        <w:tab w:val="left" w:pos="5822"/>
      </w:tabs>
      <w:rPr>
        <w:color w:val="333333"/>
        <w:sz w:val="16"/>
      </w:rPr>
    </w:pPr>
    <w:r w:rsidRPr="005F069B">
      <w:rPr>
        <w:color w:val="333333"/>
        <w:sz w:val="16"/>
      </w:rPr>
      <w:tab/>
      <w:t>Tel: (852) 2840 9222</w:t>
    </w:r>
    <w:r w:rsidRPr="005F069B">
      <w:rPr>
        <w:color w:val="333333"/>
        <w:sz w:val="16"/>
      </w:rPr>
      <w:tab/>
      <w:t xml:space="preserve">Fax: (852) 2521 7836 </w:t>
    </w:r>
    <w:r w:rsidRPr="005F069B">
      <w:rPr>
        <w:color w:val="333333"/>
        <w:sz w:val="16"/>
      </w:rPr>
      <w:tab/>
      <w:t>Website: www.sfc.hk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91C" w:rsidRDefault="006C291C">
      <w:r>
        <w:separator/>
      </w:r>
    </w:p>
  </w:footnote>
  <w:footnote w:type="continuationSeparator" w:id="0">
    <w:p w:rsidR="006C291C" w:rsidRDefault="006C291C">
      <w:r>
        <w:continuationSeparator/>
      </w:r>
    </w:p>
  </w:footnote>
  <w:footnote w:type="continuationNotice" w:id="1">
    <w:p w:rsidR="006C291C" w:rsidRPr="00C93794" w:rsidRDefault="006C291C" w:rsidP="00C93794">
      <w:pPr>
        <w:pStyle w:val="Footer"/>
      </w:pPr>
      <w:proofErr w:type="spellStart"/>
      <w:proofErr w:type="gramStart"/>
      <w:r>
        <w:t>sfgsfg</w:t>
      </w:r>
      <w:proofErr w:type="spellEnd"/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1C" w:rsidRDefault="006C291C">
    <w:pPr>
      <w:pStyle w:val="Header"/>
    </w:pPr>
  </w:p>
  <w:p w:rsidR="006C291C" w:rsidRDefault="006C291C"/>
  <w:p w:rsidR="006C291C" w:rsidRDefault="006C291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1C" w:rsidRDefault="006C291C">
    <w:pPr>
      <w:pStyle w:val="Header"/>
    </w:pPr>
    <w:r>
      <w:rPr>
        <w:noProof/>
        <w:szCs w:val="20"/>
        <w:lang w:eastAsia="zh-CN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-48895</wp:posOffset>
          </wp:positionH>
          <wp:positionV relativeFrom="paragraph">
            <wp:posOffset>33655</wp:posOffset>
          </wp:positionV>
          <wp:extent cx="457835" cy="467995"/>
          <wp:effectExtent l="1905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4457" b="50674"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C291C" w:rsidRDefault="006C291C"/>
  <w:p w:rsidR="006C291C" w:rsidRDefault="006C291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1C" w:rsidRPr="00B06F84" w:rsidRDefault="006C291C" w:rsidP="00B06F84">
    <w:pPr>
      <w:tabs>
        <w:tab w:val="right" w:pos="9063"/>
      </w:tabs>
      <w:spacing w:before="80"/>
      <w:jc w:val="right"/>
      <w:rPr>
        <w:rFonts w:ascii="新細明體" w:eastAsia="新細明體" w:hAnsi="新細明體"/>
        <w:b/>
        <w:color w:val="83898E"/>
        <w:sz w:val="32"/>
        <w:szCs w:val="32"/>
        <w:lang w:eastAsia="zh-CN"/>
      </w:rPr>
    </w:pPr>
    <w:r>
      <w:rPr>
        <w:rFonts w:eastAsia="新細明體"/>
        <w:b/>
        <w:noProof/>
        <w:color w:val="83898E"/>
        <w:sz w:val="40"/>
        <w:szCs w:val="20"/>
        <w:lang w:eastAsia="zh-CN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-48895</wp:posOffset>
          </wp:positionH>
          <wp:positionV relativeFrom="paragraph">
            <wp:posOffset>60325</wp:posOffset>
          </wp:positionV>
          <wp:extent cx="3114040" cy="100203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040" cy="1002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A1C08">
      <w:rPr>
        <w:rFonts w:eastAsia="新細明體"/>
        <w:b/>
        <w:color w:val="83898E"/>
        <w:sz w:val="40"/>
        <w:szCs w:val="18"/>
        <w:lang w:eastAsia="zh-TW"/>
      </w:rPr>
      <w:tab/>
    </w:r>
    <w:r w:rsidRPr="00B06F84">
      <w:rPr>
        <w:rFonts w:ascii="新細明體" w:eastAsia="新細明體" w:hAnsi="新細明體" w:hint="eastAsia"/>
        <w:b/>
        <w:color w:val="83898E"/>
        <w:sz w:val="32"/>
        <w:szCs w:val="32"/>
        <w:lang w:eastAsia="zh-CN"/>
      </w:rPr>
      <w:t>交易披露</w:t>
    </w:r>
  </w:p>
  <w:p w:rsidR="006C291C" w:rsidRDefault="006C291C" w:rsidP="00900477">
    <w:pPr>
      <w:tabs>
        <w:tab w:val="right" w:pos="9063"/>
      </w:tabs>
      <w:spacing w:before="100"/>
      <w:rPr>
        <w:rFonts w:eastAsia="新細明體"/>
        <w:b/>
        <w:color w:val="83898E"/>
        <w:sz w:val="40"/>
        <w:szCs w:val="18"/>
        <w:lang w:eastAsia="zh-TW"/>
      </w:rPr>
    </w:pPr>
  </w:p>
  <w:p w:rsidR="006C291C" w:rsidRDefault="006C291C" w:rsidP="00900477">
    <w:pPr>
      <w:tabs>
        <w:tab w:val="right" w:pos="9063"/>
      </w:tabs>
      <w:spacing w:before="100"/>
      <w:rPr>
        <w:rFonts w:eastAsia="新細明體"/>
        <w:b/>
        <w:color w:val="83898E"/>
        <w:sz w:val="40"/>
        <w:szCs w:val="18"/>
        <w:lang w:eastAsia="zh-TW"/>
      </w:rPr>
    </w:pPr>
  </w:p>
  <w:p w:rsidR="006C291C" w:rsidRDefault="006C291C" w:rsidP="00AB2D1A">
    <w:pPr>
      <w:tabs>
        <w:tab w:val="right" w:pos="906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CE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185597"/>
    <w:multiLevelType w:val="multilevel"/>
    <w:tmpl w:val="6C56949C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新細明體" w:hAnsi="Wingdings" w:hint="default"/>
        <w:b w:val="0"/>
        <w:i w:val="0"/>
        <w:color w:val="000000"/>
        <w:spacing w:val="1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04AB1"/>
    <w:multiLevelType w:val="hybridMultilevel"/>
    <w:tmpl w:val="40AA0A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D3CBA"/>
    <w:multiLevelType w:val="hybridMultilevel"/>
    <w:tmpl w:val="637616DA"/>
    <w:lvl w:ilvl="0" w:tplc="107CD210">
      <w:start w:val="1"/>
      <w:numFmt w:val="decimal"/>
      <w:pStyle w:val="SFCNumbering"/>
      <w:lvlText w:val="%1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FD75E7"/>
    <w:multiLevelType w:val="hybridMultilevel"/>
    <w:tmpl w:val="E8D49AA2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30D6F"/>
    <w:multiLevelType w:val="multilevel"/>
    <w:tmpl w:val="6C56949C"/>
    <w:lvl w:ilvl="0">
      <w:start w:val="1"/>
      <w:numFmt w:val="bullet"/>
      <w:pStyle w:val="SFCBullet"/>
      <w:lvlText w:val=""/>
      <w:lvlJc w:val="left"/>
      <w:pPr>
        <w:tabs>
          <w:tab w:val="num" w:pos="567"/>
        </w:tabs>
        <w:ind w:left="567" w:hanging="567"/>
      </w:pPr>
      <w:rPr>
        <w:rFonts w:ascii="Wingdings" w:eastAsia="新細明體" w:hAnsi="Wingdings" w:hint="default"/>
        <w:b w:val="0"/>
        <w:i w:val="0"/>
        <w:color w:val="000000"/>
        <w:spacing w:val="1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" w:dllVersion="2" w:checkStyle="1"/>
  <w:proofState w:spelling="clean" w:grammar="clean"/>
  <w:attachedTemplate r:id="rId1"/>
  <w:stylePaneFormatFilter w:val="00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005911,#f7f7f7,#83898e"/>
      <o:colormenu v:ext="edit" strokecolor="#83898e"/>
    </o:shapedefaults>
  </w:hdrShapeDefaults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B06F84"/>
    <w:rsid w:val="00013AB0"/>
    <w:rsid w:val="00020074"/>
    <w:rsid w:val="000366F0"/>
    <w:rsid w:val="00061289"/>
    <w:rsid w:val="00076FD2"/>
    <w:rsid w:val="000945AA"/>
    <w:rsid w:val="000C761E"/>
    <w:rsid w:val="000D100C"/>
    <w:rsid w:val="000E299C"/>
    <w:rsid w:val="000E5F18"/>
    <w:rsid w:val="000F521F"/>
    <w:rsid w:val="00106EEF"/>
    <w:rsid w:val="00117288"/>
    <w:rsid w:val="0012148C"/>
    <w:rsid w:val="00122F4A"/>
    <w:rsid w:val="001270D1"/>
    <w:rsid w:val="00141D0C"/>
    <w:rsid w:val="00143C79"/>
    <w:rsid w:val="00163DB0"/>
    <w:rsid w:val="00181B7D"/>
    <w:rsid w:val="001A0366"/>
    <w:rsid w:val="001A7CFB"/>
    <w:rsid w:val="001D2243"/>
    <w:rsid w:val="001D5543"/>
    <w:rsid w:val="0020403B"/>
    <w:rsid w:val="002129FD"/>
    <w:rsid w:val="00245B92"/>
    <w:rsid w:val="002509E9"/>
    <w:rsid w:val="00251236"/>
    <w:rsid w:val="0025688F"/>
    <w:rsid w:val="00263306"/>
    <w:rsid w:val="00271CD9"/>
    <w:rsid w:val="00272672"/>
    <w:rsid w:val="00275694"/>
    <w:rsid w:val="002756D1"/>
    <w:rsid w:val="002912D2"/>
    <w:rsid w:val="00296E06"/>
    <w:rsid w:val="002A0AD5"/>
    <w:rsid w:val="002B381E"/>
    <w:rsid w:val="002B52E4"/>
    <w:rsid w:val="002F2225"/>
    <w:rsid w:val="00305462"/>
    <w:rsid w:val="0032725C"/>
    <w:rsid w:val="0036785D"/>
    <w:rsid w:val="003A013F"/>
    <w:rsid w:val="003C34DD"/>
    <w:rsid w:val="003D1583"/>
    <w:rsid w:val="003D4A67"/>
    <w:rsid w:val="003E0853"/>
    <w:rsid w:val="003E770B"/>
    <w:rsid w:val="004026AF"/>
    <w:rsid w:val="0040561B"/>
    <w:rsid w:val="00413D76"/>
    <w:rsid w:val="0043320A"/>
    <w:rsid w:val="00433B92"/>
    <w:rsid w:val="004409BA"/>
    <w:rsid w:val="004772BC"/>
    <w:rsid w:val="004847AF"/>
    <w:rsid w:val="00492C74"/>
    <w:rsid w:val="004B65BD"/>
    <w:rsid w:val="004C7548"/>
    <w:rsid w:val="00504E8F"/>
    <w:rsid w:val="0051130E"/>
    <w:rsid w:val="00513B9E"/>
    <w:rsid w:val="00514173"/>
    <w:rsid w:val="00541223"/>
    <w:rsid w:val="0054188A"/>
    <w:rsid w:val="0055370D"/>
    <w:rsid w:val="005922B6"/>
    <w:rsid w:val="005C5764"/>
    <w:rsid w:val="005D1D64"/>
    <w:rsid w:val="005E1AC0"/>
    <w:rsid w:val="005E6A55"/>
    <w:rsid w:val="005F29F3"/>
    <w:rsid w:val="005F343D"/>
    <w:rsid w:val="00606ABD"/>
    <w:rsid w:val="00615325"/>
    <w:rsid w:val="00644BF8"/>
    <w:rsid w:val="00646767"/>
    <w:rsid w:val="00647491"/>
    <w:rsid w:val="006523D1"/>
    <w:rsid w:val="00664401"/>
    <w:rsid w:val="006654D1"/>
    <w:rsid w:val="00672CB8"/>
    <w:rsid w:val="00695757"/>
    <w:rsid w:val="006A61E2"/>
    <w:rsid w:val="006A62DD"/>
    <w:rsid w:val="006B7B5F"/>
    <w:rsid w:val="006B7FF5"/>
    <w:rsid w:val="006C291C"/>
    <w:rsid w:val="006D3D94"/>
    <w:rsid w:val="006D4285"/>
    <w:rsid w:val="006F508F"/>
    <w:rsid w:val="00714618"/>
    <w:rsid w:val="00736724"/>
    <w:rsid w:val="00755C57"/>
    <w:rsid w:val="00794DB2"/>
    <w:rsid w:val="00796E03"/>
    <w:rsid w:val="007A10D5"/>
    <w:rsid w:val="007A5B66"/>
    <w:rsid w:val="007B1217"/>
    <w:rsid w:val="007B22CC"/>
    <w:rsid w:val="007C0DE7"/>
    <w:rsid w:val="007C369E"/>
    <w:rsid w:val="007F1472"/>
    <w:rsid w:val="00816252"/>
    <w:rsid w:val="008850F8"/>
    <w:rsid w:val="0088725D"/>
    <w:rsid w:val="008A6591"/>
    <w:rsid w:val="008A7E33"/>
    <w:rsid w:val="008E44EE"/>
    <w:rsid w:val="00900477"/>
    <w:rsid w:val="009173CB"/>
    <w:rsid w:val="0092598B"/>
    <w:rsid w:val="009355DF"/>
    <w:rsid w:val="00986CC1"/>
    <w:rsid w:val="00987ABA"/>
    <w:rsid w:val="009C6FFC"/>
    <w:rsid w:val="009F24DD"/>
    <w:rsid w:val="00A430BA"/>
    <w:rsid w:val="00A55777"/>
    <w:rsid w:val="00A744C9"/>
    <w:rsid w:val="00A77297"/>
    <w:rsid w:val="00A809B4"/>
    <w:rsid w:val="00AA244B"/>
    <w:rsid w:val="00AB2D1A"/>
    <w:rsid w:val="00AE5EBE"/>
    <w:rsid w:val="00B06F84"/>
    <w:rsid w:val="00B07F4B"/>
    <w:rsid w:val="00B11D7F"/>
    <w:rsid w:val="00B213ED"/>
    <w:rsid w:val="00B41994"/>
    <w:rsid w:val="00B650BA"/>
    <w:rsid w:val="00B91A51"/>
    <w:rsid w:val="00B92B0C"/>
    <w:rsid w:val="00BB026D"/>
    <w:rsid w:val="00BB51C2"/>
    <w:rsid w:val="00BD2F50"/>
    <w:rsid w:val="00BF232A"/>
    <w:rsid w:val="00BF2817"/>
    <w:rsid w:val="00C21B9F"/>
    <w:rsid w:val="00C3360D"/>
    <w:rsid w:val="00C43500"/>
    <w:rsid w:val="00C72817"/>
    <w:rsid w:val="00C90601"/>
    <w:rsid w:val="00C91E8F"/>
    <w:rsid w:val="00C93794"/>
    <w:rsid w:val="00C94D49"/>
    <w:rsid w:val="00CA0260"/>
    <w:rsid w:val="00CC7BDF"/>
    <w:rsid w:val="00CD2669"/>
    <w:rsid w:val="00D12198"/>
    <w:rsid w:val="00D23039"/>
    <w:rsid w:val="00D315D6"/>
    <w:rsid w:val="00D4260A"/>
    <w:rsid w:val="00D45C97"/>
    <w:rsid w:val="00E051EA"/>
    <w:rsid w:val="00E1205B"/>
    <w:rsid w:val="00E35B5E"/>
    <w:rsid w:val="00E54629"/>
    <w:rsid w:val="00E60AD2"/>
    <w:rsid w:val="00E83DB2"/>
    <w:rsid w:val="00E972F8"/>
    <w:rsid w:val="00EA0B89"/>
    <w:rsid w:val="00EA2F8E"/>
    <w:rsid w:val="00EC58B6"/>
    <w:rsid w:val="00EE2CA5"/>
    <w:rsid w:val="00EE6663"/>
    <w:rsid w:val="00EF1BBF"/>
    <w:rsid w:val="00EF797F"/>
    <w:rsid w:val="00F12ACB"/>
    <w:rsid w:val="00F2413E"/>
    <w:rsid w:val="00F26EC8"/>
    <w:rsid w:val="00F3361F"/>
    <w:rsid w:val="00F66771"/>
    <w:rsid w:val="00F92426"/>
    <w:rsid w:val="00F93477"/>
    <w:rsid w:val="00FE139B"/>
    <w:rsid w:val="00FF4BF5"/>
    <w:rsid w:val="00FF4FE7"/>
    <w:rsid w:val="00FF5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005911,#f7f7f7,#83898e"/>
      <o:colormenu v:ext="edit" strokecolor="#83898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D64"/>
    <w:rPr>
      <w:rFonts w:ascii="Arial" w:eastAsia="Times New Roman" w:hAnsi="Arial"/>
      <w:sz w:val="24"/>
      <w:szCs w:val="24"/>
      <w:lang w:eastAsia="zh-HK"/>
    </w:rPr>
  </w:style>
  <w:style w:type="paragraph" w:styleId="Heading1">
    <w:name w:val="heading 1"/>
    <w:aliases w:val="Body Heading"/>
    <w:basedOn w:val="Normal"/>
    <w:next w:val="Normal"/>
    <w:autoRedefine/>
    <w:qFormat/>
    <w:rsid w:val="00E54629"/>
    <w:pPr>
      <w:keepNext/>
      <w:spacing w:after="20" w:line="360" w:lineRule="auto"/>
      <w:jc w:val="center"/>
      <w:outlineLvl w:val="0"/>
    </w:pPr>
    <w:rPr>
      <w:rFonts w:eastAsia="新細明體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rsid w:val="008E22D9"/>
    <w:pPr>
      <w:keepNext/>
      <w:jc w:val="both"/>
      <w:outlineLvl w:val="1"/>
    </w:pPr>
    <w:rPr>
      <w:rFonts w:eastAsia="'宋體"/>
      <w:b/>
      <w:szCs w:val="20"/>
      <w:u w:val="single"/>
      <w:lang w:eastAsia="zh-TW"/>
    </w:rPr>
  </w:style>
  <w:style w:type="paragraph" w:styleId="Heading3">
    <w:name w:val="heading 3"/>
    <w:basedOn w:val="Normal"/>
    <w:next w:val="Normal"/>
    <w:qFormat/>
    <w:rsid w:val="007B0805"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qFormat/>
    <w:rsid w:val="007B0805"/>
    <w:pPr>
      <w:keepNext/>
      <w:spacing w:before="240" w:after="60"/>
      <w:outlineLvl w:val="3"/>
    </w:pPr>
    <w:rPr>
      <w:b/>
      <w:sz w:val="28"/>
      <w:szCs w:val="28"/>
    </w:rPr>
  </w:style>
  <w:style w:type="paragraph" w:styleId="Heading8">
    <w:name w:val="heading 8"/>
    <w:basedOn w:val="Normal"/>
    <w:next w:val="Normal"/>
    <w:qFormat/>
    <w:rsid w:val="007B0805"/>
    <w:pPr>
      <w:keepNext/>
      <w:jc w:val="center"/>
      <w:outlineLvl w:val="7"/>
    </w:pPr>
    <w:rPr>
      <w:rFonts w:eastAsia="新細明體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D1318"/>
    <w:pPr>
      <w:shd w:val="clear" w:color="auto" w:fill="C6D5EC"/>
    </w:pPr>
    <w:rPr>
      <w:rFonts w:ascii="Lucida Grande" w:hAnsi="Lucida Grande"/>
    </w:rPr>
  </w:style>
  <w:style w:type="paragraph" w:styleId="Footer">
    <w:name w:val="footer"/>
    <w:basedOn w:val="Normal"/>
    <w:semiHidden/>
    <w:rsid w:val="00BD13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61452"/>
    <w:rPr>
      <w:rFonts w:ascii="Lucida Grande" w:hAnsi="Lucida Grande"/>
      <w:sz w:val="18"/>
      <w:szCs w:val="18"/>
    </w:rPr>
  </w:style>
  <w:style w:type="paragraph" w:customStyle="1" w:styleId="Bodytxt">
    <w:name w:val="Body txt"/>
    <w:basedOn w:val="Normal"/>
    <w:link w:val="BodytxtChar"/>
    <w:semiHidden/>
    <w:rsid w:val="007B0805"/>
    <w:pPr>
      <w:tabs>
        <w:tab w:val="center" w:pos="5040"/>
      </w:tabs>
      <w:spacing w:after="100"/>
      <w:jc w:val="both"/>
    </w:pPr>
    <w:rPr>
      <w:sz w:val="22"/>
    </w:rPr>
  </w:style>
  <w:style w:type="paragraph" w:customStyle="1" w:styleId="Headingbody">
    <w:name w:val="Heading body"/>
    <w:basedOn w:val="Bodytxt"/>
    <w:semiHidden/>
    <w:rsid w:val="007B0805"/>
    <w:pPr>
      <w:spacing w:after="40"/>
    </w:pPr>
    <w:rPr>
      <w:b/>
    </w:rPr>
  </w:style>
  <w:style w:type="paragraph" w:styleId="Header">
    <w:name w:val="header"/>
    <w:basedOn w:val="Normal"/>
    <w:semiHidden/>
    <w:rsid w:val="007B0805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autoRedefine/>
    <w:semiHidden/>
    <w:rsid w:val="007B0805"/>
    <w:pPr>
      <w:numPr>
        <w:numId w:val="1"/>
      </w:numPr>
    </w:pPr>
  </w:style>
  <w:style w:type="character" w:styleId="Hyperlink">
    <w:name w:val="Hyperlink"/>
    <w:basedOn w:val="DefaultParagraphFont"/>
    <w:semiHidden/>
    <w:rsid w:val="002912D2"/>
    <w:rPr>
      <w:color w:val="0000FF"/>
      <w:u w:val="single"/>
    </w:rPr>
  </w:style>
  <w:style w:type="paragraph" w:customStyle="1" w:styleId="SFCNormal">
    <w:name w:val="SFC Normal"/>
    <w:basedOn w:val="Normal"/>
    <w:rsid w:val="00541223"/>
    <w:rPr>
      <w:rFonts w:eastAsia="新細明體"/>
      <w:lang w:eastAsia="zh-TW"/>
    </w:rPr>
  </w:style>
  <w:style w:type="paragraph" w:customStyle="1" w:styleId="SFCHeading">
    <w:name w:val="SFC Heading"/>
    <w:basedOn w:val="Headingbody"/>
    <w:rsid w:val="0020403B"/>
    <w:pPr>
      <w:spacing w:after="100"/>
      <w:jc w:val="left"/>
    </w:pPr>
    <w:rPr>
      <w:bCs/>
      <w:szCs w:val="20"/>
    </w:rPr>
  </w:style>
  <w:style w:type="paragraph" w:customStyle="1" w:styleId="SFCBullet">
    <w:name w:val="SFC Bullet"/>
    <w:basedOn w:val="Bodytxt"/>
    <w:rsid w:val="002129FD"/>
    <w:pPr>
      <w:numPr>
        <w:numId w:val="4"/>
      </w:numPr>
      <w:jc w:val="left"/>
    </w:pPr>
    <w:rPr>
      <w:sz w:val="24"/>
    </w:rPr>
  </w:style>
  <w:style w:type="paragraph" w:styleId="FootnoteText">
    <w:name w:val="footnote text"/>
    <w:basedOn w:val="Normal"/>
    <w:semiHidden/>
    <w:rsid w:val="00C93794"/>
    <w:pPr>
      <w:snapToGrid w:val="0"/>
    </w:pPr>
    <w:rPr>
      <w:sz w:val="20"/>
      <w:szCs w:val="20"/>
    </w:rPr>
  </w:style>
  <w:style w:type="paragraph" w:customStyle="1" w:styleId="SFCNumbering">
    <w:name w:val="SFC Numbering"/>
    <w:basedOn w:val="Bodytxt"/>
    <w:rsid w:val="00FF4BF5"/>
    <w:pPr>
      <w:numPr>
        <w:numId w:val="3"/>
      </w:numPr>
      <w:jc w:val="left"/>
    </w:pPr>
    <w:rPr>
      <w:rFonts w:eastAsia="新細明體"/>
      <w:sz w:val="24"/>
    </w:rPr>
  </w:style>
  <w:style w:type="character" w:customStyle="1" w:styleId="BodytxtChar">
    <w:name w:val="Body txt Char"/>
    <w:basedOn w:val="DefaultParagraphFont"/>
    <w:link w:val="Bodytxt"/>
    <w:rsid w:val="004772BC"/>
    <w:rPr>
      <w:rFonts w:ascii="Arial" w:hAnsi="Arial"/>
      <w:sz w:val="22"/>
      <w:szCs w:val="24"/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C93794"/>
    <w:rPr>
      <w:vertAlign w:val="superscript"/>
    </w:rPr>
  </w:style>
  <w:style w:type="paragraph" w:styleId="BodyText2">
    <w:name w:val="Body Text 2"/>
    <w:basedOn w:val="Normal"/>
    <w:rsid w:val="00E54629"/>
    <w:pPr>
      <w:tabs>
        <w:tab w:val="left" w:pos="1485"/>
        <w:tab w:val="center" w:pos="1710"/>
        <w:tab w:val="center" w:pos="4680"/>
        <w:tab w:val="center" w:pos="7200"/>
      </w:tabs>
    </w:pPr>
    <w:rPr>
      <w:rFonts w:ascii="Times New Roman" w:eastAsia="絡遺羹" w:hAnsi="Times New Roman"/>
      <w:color w:val="000000"/>
      <w:sz w:val="22"/>
      <w:szCs w:val="22"/>
      <w:lang w:val="en-US" w:eastAsia="en-US"/>
    </w:rPr>
  </w:style>
  <w:style w:type="paragraph" w:customStyle="1" w:styleId="CharCharChar">
    <w:name w:val="字元 字元 Char 字元 字元 Char 字元 字元 Char"/>
    <w:basedOn w:val="Normal"/>
    <w:rsid w:val="00E54629"/>
    <w:pPr>
      <w:spacing w:after="160" w:line="240" w:lineRule="exact"/>
    </w:pPr>
    <w:rPr>
      <w:rFonts w:ascii="Verdana" w:eastAsia="新細明體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lychan\Application%20Data\Microsoft\Templates\Press%20Release%20(Chi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(Chi).dot</Template>
  <TotalTime>2</TotalTime>
  <Pages>1</Pages>
  <Words>250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[年月日]</vt:lpstr>
    </vt:vector>
  </TitlesOfParts>
  <Company>Securities and Futures Commission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[年月日]</dc:title>
  <dc:subject/>
  <dc:creator>lilychan</dc:creator>
  <cp:keywords/>
  <dc:description/>
  <cp:lastModifiedBy>vynwong</cp:lastModifiedBy>
  <cp:revision>2</cp:revision>
  <cp:lastPrinted>2013-05-27T09:18:00Z</cp:lastPrinted>
  <dcterms:created xsi:type="dcterms:W3CDTF">2013-05-28T02:52:00Z</dcterms:created>
  <dcterms:modified xsi:type="dcterms:W3CDTF">2013-05-28T02:52:00Z</dcterms:modified>
</cp:coreProperties>
</file>