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  <w:lang w:eastAsia="zh-CN"/>
        </w:rPr>
      </w:pPr>
      <w:r w:rsidRPr="00251CCF">
        <w:rPr>
          <w:noProof/>
          <w:color w:val="auto"/>
          <w:lang w:eastAsia="zh-CN"/>
        </w:rPr>
        <w:t>2015</w:t>
      </w:r>
      <w:r w:rsidRPr="00251CCF">
        <w:rPr>
          <w:noProof/>
          <w:color w:val="auto"/>
          <w:lang w:eastAsia="zh-CN"/>
        </w:rPr>
        <w:t>年</w:t>
      </w:r>
      <w:r w:rsidRPr="00251CCF">
        <w:rPr>
          <w:noProof/>
          <w:color w:val="auto"/>
          <w:lang w:eastAsia="zh-CN"/>
        </w:rPr>
        <w:t>1</w:t>
      </w:r>
      <w:r w:rsidRPr="00251CCF">
        <w:rPr>
          <w:noProof/>
          <w:color w:val="auto"/>
          <w:lang w:eastAsia="zh-CN"/>
        </w:rPr>
        <w:t>月</w:t>
      </w:r>
      <w:r w:rsidRPr="00251CCF">
        <w:rPr>
          <w:noProof/>
          <w:color w:val="auto"/>
          <w:lang w:eastAsia="zh-CN"/>
        </w:rPr>
        <w:t>2</w:t>
      </w:r>
      <w:r w:rsidRPr="00251CCF">
        <w:rPr>
          <w:noProof/>
          <w:color w:val="auto"/>
          <w:lang w:eastAsia="zh-CN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zh-CN"/>
        </w:rPr>
      </w:pPr>
    </w:p>
    <w:p w:rsidR="00095445" w:rsidRPr="00251CCF" w:rsidRDefault="00873E86" w:rsidP="00873E86">
      <w:pPr>
        <w:widowControl/>
        <w:topLinePunct/>
        <w:adjustRightInd w:val="0"/>
        <w:jc w:val="center"/>
        <w:rPr>
          <w:kern w:val="0"/>
          <w:sz w:val="16"/>
          <w:szCs w:val="16"/>
          <w:lang w:eastAsia="zh-CN"/>
        </w:rPr>
      </w:pPr>
      <w:r w:rsidRPr="00873E86">
        <w:rPr>
          <w:rFonts w:hint="eastAsia"/>
          <w:b/>
          <w:noProof/>
          <w:lang w:eastAsia="zh-CN"/>
        </w:rPr>
        <w:t>吸收合併</w:t>
      </w: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4A775F">
        <w:rPr>
          <w:rFonts w:ascii="新細明體" w:hAnsi="新細明體" w:hint="eastAsia"/>
          <w:b/>
          <w:bCs/>
          <w:kern w:val="0"/>
          <w:lang w:eastAsia="zh-CN"/>
        </w:rPr>
        <w:t>就</w:t>
      </w:r>
      <w:r w:rsidR="00CD7A42" w:rsidRPr="00251CCF">
        <w:rPr>
          <w:b/>
          <w:noProof/>
          <w:lang w:eastAsia="zh-CN"/>
        </w:rPr>
        <w:t>中国南车股份有限公司</w:t>
      </w:r>
      <w:r w:rsidRPr="004A775F">
        <w:rPr>
          <w:rFonts w:ascii="新細明體" w:hAnsi="新細明體" w:hint="eastAsia"/>
          <w:b/>
          <w:bCs/>
          <w:kern w:val="0"/>
          <w:lang w:eastAsia="zh-CN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  <w:lang w:eastAsia="zh-CN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1572"/>
        <w:gridCol w:w="2311"/>
        <w:gridCol w:w="2619"/>
        <w:gridCol w:w="2311"/>
        <w:gridCol w:w="2311"/>
        <w:gridCol w:w="2302"/>
      </w:tblGrid>
      <w:tr w:rsidR="006267CA" w:rsidRPr="00251CCF" w:rsidTr="00873E86">
        <w:trPr>
          <w:tblHeader/>
        </w:trPr>
        <w:tc>
          <w:tcPr>
            <w:tcW w:w="643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10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750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850" w:type="pct"/>
          </w:tcPr>
          <w:p w:rsidR="006267CA" w:rsidRDefault="008B52DF" w:rsidP="008B52DF">
            <w:pPr>
              <w:rPr>
                <w:lang w:eastAsia="zh-TW"/>
              </w:rPr>
            </w:pPr>
            <w:r w:rsidRPr="008B52DF">
              <w:rPr>
                <w:rFonts w:ascii="新細明體" w:hAnsi="新細明體" w:hint="eastAsia"/>
                <w:b/>
                <w:bCs/>
                <w:lang w:eastAsia="zh-TW"/>
              </w:rPr>
              <w:t>借用交易／借出交易／解除借貸交易</w:t>
            </w:r>
          </w:p>
        </w:tc>
        <w:tc>
          <w:tcPr>
            <w:tcW w:w="750" w:type="pct"/>
          </w:tcPr>
          <w:p w:rsidR="006267CA" w:rsidRDefault="008B52DF" w:rsidP="008B52DF">
            <w:r w:rsidRPr="008B52DF">
              <w:rPr>
                <w:rFonts w:ascii="新細明體" w:hAnsi="新細明體" w:hint="eastAsia"/>
                <w:b/>
                <w:bCs/>
              </w:rPr>
              <w:t>證券數目</w:t>
            </w:r>
          </w:p>
        </w:tc>
        <w:tc>
          <w:tcPr>
            <w:tcW w:w="750" w:type="pct"/>
          </w:tcPr>
          <w:p w:rsidR="006267CA" w:rsidRDefault="008B52DF" w:rsidP="008B52DF">
            <w:pPr>
              <w:rPr>
                <w:lang w:eastAsia="zh-TW"/>
              </w:rPr>
            </w:pPr>
            <w:r w:rsidRPr="008B52D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747" w:type="pct"/>
          </w:tcPr>
          <w:p w:rsidR="006267CA" w:rsidRDefault="008B52DF" w:rsidP="008B52DF">
            <w:pPr>
              <w:rPr>
                <w:lang w:eastAsia="zh-TW"/>
              </w:rPr>
            </w:pPr>
            <w:r w:rsidRPr="008B52DF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 w:val="restart"/>
          </w:tcPr>
          <w:p w:rsidR="00873E86" w:rsidRPr="00251CCF" w:rsidRDefault="00873E86" w:rsidP="004B345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Credit Suisse Securities (Europe) Limited</w:t>
            </w:r>
          </w:p>
          <w:p w:rsidR="00873E86" w:rsidRPr="00251CCF" w:rsidRDefault="00873E86" w:rsidP="004B3458">
            <w:pPr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2,000,000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/>
          </w:tcPr>
          <w:p w:rsidR="00873E86" w:rsidRPr="00251CCF" w:rsidRDefault="00873E86" w:rsidP="004B3458">
            <w:pPr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/>
          </w:tcPr>
          <w:p w:rsidR="00873E86" w:rsidRPr="00251CCF" w:rsidRDefault="00873E86" w:rsidP="004B3458">
            <w:pPr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2,800,000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/>
          </w:tcPr>
          <w:p w:rsidR="00873E86" w:rsidRPr="00251CCF" w:rsidRDefault="00873E86" w:rsidP="004B3458">
            <w:pPr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1,200,000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/>
          </w:tcPr>
          <w:p w:rsidR="00873E86" w:rsidRPr="00251CCF" w:rsidRDefault="00873E86" w:rsidP="004B3458">
            <w:pPr>
              <w:widowControl/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  <w:tr w:rsidR="00873E86" w:rsidRPr="00251CCF" w:rsidTr="00873E86">
        <w:trPr>
          <w:tblHeader/>
        </w:trPr>
        <w:tc>
          <w:tcPr>
            <w:tcW w:w="643" w:type="pct"/>
            <w:vMerge/>
          </w:tcPr>
          <w:p w:rsidR="00873E86" w:rsidRPr="00251CCF" w:rsidRDefault="00873E86" w:rsidP="004B3458">
            <w:pPr>
              <w:widowControl/>
              <w:topLinePunct/>
              <w:adjustRightInd w:val="0"/>
            </w:pPr>
          </w:p>
        </w:tc>
        <w:tc>
          <w:tcPr>
            <w:tcW w:w="51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2014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31</w:t>
            </w:r>
            <w:r w:rsidRPr="00251CCF">
              <w:rPr>
                <w:noProof/>
              </w:rPr>
              <w:t>日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普通股</w:t>
            </w:r>
          </w:p>
        </w:tc>
        <w:tc>
          <w:tcPr>
            <w:tcW w:w="8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借用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2,600,000</w:t>
            </w:r>
          </w:p>
        </w:tc>
        <w:tc>
          <w:tcPr>
            <w:tcW w:w="750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87,804,653</w:t>
            </w:r>
          </w:p>
        </w:tc>
        <w:tc>
          <w:tcPr>
            <w:tcW w:w="747" w:type="pct"/>
          </w:tcPr>
          <w:p w:rsidR="00873E86" w:rsidRPr="00251CCF" w:rsidRDefault="00873E86" w:rsidP="00023CE5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4.3382%</w:t>
            </w:r>
          </w:p>
        </w:tc>
      </w:tr>
    </w:tbl>
    <w:p w:rsidR="00A67FAD" w:rsidRPr="00251CCF" w:rsidRDefault="00A67FAD" w:rsidP="00A67FAD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lastRenderedPageBreak/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Credit Suisse Securities (Europe) Limited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</w:t>
      </w:r>
      <w:r w:rsidR="00873E86" w:rsidRPr="00873E86">
        <w:rPr>
          <w:rFonts w:hint="eastAsia"/>
          <w:noProof/>
          <w:color w:val="auto"/>
          <w:kern w:val="0"/>
        </w:rPr>
        <w:t>中國北車股份有限公司</w:t>
      </w:r>
      <w:r w:rsidR="00873E86">
        <w:rPr>
          <w:rFonts w:hint="eastAsia"/>
          <w:noProof/>
          <w:color w:val="auto"/>
          <w:kern w:val="0"/>
        </w:rPr>
        <w:t>即</w:t>
      </w:r>
      <w:r w:rsidR="00BD6CD7" w:rsidRPr="00251CCF">
        <w:rPr>
          <w:noProof/>
          <w:color w:val="auto"/>
          <w:kern w:val="0"/>
        </w:rPr>
        <w:t>受要約公司有關連的第</w:t>
      </w:r>
      <w:r w:rsidR="00BD6CD7" w:rsidRPr="00251CCF">
        <w:rPr>
          <w:noProof/>
          <w:color w:val="auto"/>
          <w:kern w:val="0"/>
        </w:rPr>
        <w:t>(6)</w:t>
      </w:r>
      <w:r w:rsidR="00BD6CD7" w:rsidRPr="00251CCF">
        <w:rPr>
          <w:noProof/>
          <w:color w:val="auto"/>
          <w:kern w:val="0"/>
        </w:rPr>
        <w:t>類別聯繫人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25A80" w:rsidRDefault="00286D70" w:rsidP="00BD6CD7">
      <w:pPr>
        <w:widowControl/>
        <w:topLinePunct/>
        <w:adjustRightInd w:val="0"/>
      </w:pPr>
      <w:bookmarkStart w:id="1" w:name="_GoBack"/>
      <w:bookmarkEnd w:id="1"/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Credit Suisse Securities (Europe) Limited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Credit Suisse Group AG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3E86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2ADBFFB7-AEE0-4DDC-981A-7AB9BE4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18A42-3C75-4395-BA64-089D8BB9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Phoebe SKM PONG</cp:lastModifiedBy>
  <cp:revision>181</cp:revision>
  <dcterms:created xsi:type="dcterms:W3CDTF">2013-12-18T09:10:00Z</dcterms:created>
  <dcterms:modified xsi:type="dcterms:W3CDTF">2015-01-02T10:21:00Z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