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2015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10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12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251CCF">
        <w:rPr>
          <w:b/>
          <w:noProof/>
        </w:rPr>
        <w:t>強制全面要約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榮豐國際有限公司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F27018" w:rsidRPr="00251CCF" w:rsidTr="00FB14B8">
        <w:trPr>
          <w:tblHeader/>
        </w:trPr>
        <w:tc>
          <w:tcPr>
            <w:tcW w:w="730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505" w:type="pct"/>
          </w:tcPr>
          <w:p w:rsidR="00F27018" w:rsidRPr="00F532D5" w:rsidRDefault="006267CA" w:rsidP="00266358">
            <w:pPr>
              <w:widowControl/>
              <w:topLinePunct/>
              <w:adjustRightInd w:val="0"/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00" w:type="pct"/>
          </w:tcPr>
          <w:p w:rsidR="00F27018" w:rsidRPr="00F532D5" w:rsidRDefault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買入／賣出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股份數目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每股價格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交易後數額（包括與其訂有協議或達成諒解的任何人士的證券）</w:t>
            </w:r>
          </w:p>
        </w:tc>
        <w:tc>
          <w:tcPr>
            <w:tcW w:w="841" w:type="pct"/>
          </w:tcPr>
          <w:p w:rsidR="00F27018" w:rsidRPr="00F532D5" w:rsidRDefault="006267CA" w:rsidP="006267CA">
            <w:pPr>
              <w:rPr>
                <w:rFonts w:ascii="新細明體" w:hAnsi="新細明體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佔該類別證券的百分比（包括與其訂有協議或達成諒解的任何人士的證券）%</w:t>
            </w:r>
          </w:p>
        </w:tc>
      </w:tr>
      <w:tr w:rsidR="00C54637" w:rsidRPr="00251CCF" w:rsidTr="00FB14B8">
        <w:trPr>
          <w:tblHeader/>
        </w:trPr>
        <w:tc>
          <w:tcPr>
            <w:tcW w:w="730" w:type="pct"/>
            <w:vMerge w:val="restart"/>
          </w:tcPr>
          <w:p w:rsidR="00C54637" w:rsidRPr="00251CCF" w:rsidRDefault="00C54637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徐綺玲</w:t>
            </w:r>
          </w:p>
        </w:tc>
        <w:tc>
          <w:tcPr>
            <w:tcW w:w="505" w:type="pct"/>
            <w:vMerge w:val="restart"/>
          </w:tcPr>
          <w:p w:rsidR="00C54637" w:rsidRPr="00251CCF" w:rsidRDefault="00C54637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2015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10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日</w:t>
            </w:r>
          </w:p>
        </w:tc>
        <w:tc>
          <w:tcPr>
            <w:tcW w:w="400" w:type="pct"/>
          </w:tcPr>
          <w:p w:rsidR="00C54637" w:rsidRPr="00251CCF" w:rsidRDefault="00C54637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841" w:type="pct"/>
          </w:tcPr>
          <w:p w:rsidR="00C54637" w:rsidRPr="00251CCF" w:rsidRDefault="00C5463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109,000</w:t>
            </w:r>
          </w:p>
        </w:tc>
        <w:tc>
          <w:tcPr>
            <w:tcW w:w="841" w:type="pct"/>
          </w:tcPr>
          <w:p w:rsidR="00C54637" w:rsidRPr="00251CCF" w:rsidRDefault="00C5463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$0.6200</w:t>
            </w:r>
          </w:p>
        </w:tc>
        <w:tc>
          <w:tcPr>
            <w:tcW w:w="841" w:type="pct"/>
          </w:tcPr>
          <w:p w:rsidR="00C54637" w:rsidRPr="00251CCF" w:rsidRDefault="00C5463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775,000</w:t>
            </w:r>
          </w:p>
        </w:tc>
        <w:tc>
          <w:tcPr>
            <w:tcW w:w="841" w:type="pct"/>
          </w:tcPr>
          <w:p w:rsidR="00C54637" w:rsidRPr="00251CCF" w:rsidRDefault="00C5463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0.0293%</w:t>
            </w:r>
          </w:p>
        </w:tc>
      </w:tr>
      <w:tr w:rsidR="00C54637" w:rsidRPr="00251CCF" w:rsidTr="00FB14B8">
        <w:trPr>
          <w:tblHeader/>
        </w:trPr>
        <w:tc>
          <w:tcPr>
            <w:tcW w:w="730" w:type="pct"/>
            <w:vMerge/>
          </w:tcPr>
          <w:p w:rsidR="00C54637" w:rsidRPr="00251CCF" w:rsidRDefault="00C54637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C54637" w:rsidRPr="00251CCF" w:rsidRDefault="00C54637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C54637" w:rsidRPr="00251CCF" w:rsidRDefault="00C54637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841" w:type="pct"/>
          </w:tcPr>
          <w:p w:rsidR="00C54637" w:rsidRPr="00251CCF" w:rsidRDefault="00C5463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89,000</w:t>
            </w:r>
          </w:p>
        </w:tc>
        <w:tc>
          <w:tcPr>
            <w:tcW w:w="841" w:type="pct"/>
          </w:tcPr>
          <w:p w:rsidR="00C54637" w:rsidRPr="00251CCF" w:rsidRDefault="00C5463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$0.5800</w:t>
            </w:r>
          </w:p>
        </w:tc>
        <w:tc>
          <w:tcPr>
            <w:tcW w:w="841" w:type="pct"/>
          </w:tcPr>
          <w:p w:rsidR="00C54637" w:rsidRPr="00251CCF" w:rsidRDefault="00C5463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686,000</w:t>
            </w:r>
          </w:p>
        </w:tc>
        <w:tc>
          <w:tcPr>
            <w:tcW w:w="841" w:type="pct"/>
          </w:tcPr>
          <w:p w:rsidR="00C54637" w:rsidRPr="00251CCF" w:rsidRDefault="00C5463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0.0259%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9F6149" w:rsidP="00AC7B06">
      <w:pPr>
        <w:widowControl/>
        <w:topLinePunct/>
        <w:adjustRightInd w:val="0"/>
      </w:pPr>
      <w:r w:rsidRPr="00251CCF">
        <w:rPr>
          <w:noProof/>
          <w:color w:val="auto"/>
        </w:rPr>
        <w:t>徐綺玲</w:t>
      </w:r>
      <w:r w:rsidR="005E3A8E" w:rsidRPr="000819AB">
        <w:rPr>
          <w:rFonts w:hAnsi="新細明體"/>
          <w:bCs/>
          <w:noProof/>
          <w:kern w:val="0"/>
        </w:rPr>
        <w:t>是</w:t>
      </w:r>
      <w:r w:rsidR="005E3A8E" w:rsidRPr="005E3A8E">
        <w:rPr>
          <w:rFonts w:hAnsi="新細明體" w:hint="eastAsia"/>
          <w:bCs/>
          <w:noProof/>
          <w:kern w:val="0"/>
        </w:rPr>
        <w:t>與</w:t>
      </w:r>
      <w:r w:rsidR="005E3A8E">
        <w:rPr>
          <w:noProof/>
        </w:rPr>
        <w:t>受要約公司</w:t>
      </w:r>
      <w:r w:rsidR="005E3A8E" w:rsidRPr="005E3A8E">
        <w:rPr>
          <w:rFonts w:hint="eastAsia"/>
        </w:rPr>
        <w:t>有關連的</w:t>
      </w:r>
      <w:r>
        <w:rPr>
          <w:noProof/>
        </w:rPr>
        <w:t>第</w:t>
      </w:r>
      <w:r>
        <w:rPr>
          <w:noProof/>
        </w:rPr>
        <w:t>(3)</w:t>
      </w:r>
      <w:r>
        <w:rPr>
          <w:noProof/>
        </w:rPr>
        <w:t>類別</w:t>
      </w:r>
      <w:r w:rsidR="005E3A8E" w:rsidRPr="005E3A8E">
        <w:rPr>
          <w:rFonts w:hint="eastAsia"/>
        </w:rPr>
        <w:t>聯繫人</w:t>
      </w:r>
      <w:r w:rsidR="005E3A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BD6CD7" w:rsidP="00BD6CD7">
      <w:pPr>
        <w:widowControl/>
        <w:topLinePunct/>
        <w:adjustRightInd w:val="0"/>
        <w:rPr>
          <w:color w:val="auto"/>
        </w:rPr>
      </w:pPr>
      <w:bookmarkStart w:id="1" w:name="_GoBack"/>
      <w:bookmarkEnd w:id="1"/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8A" w:rsidRDefault="00F06B8A" w:rsidP="00095445">
      <w:r>
        <w:separator/>
      </w:r>
    </w:p>
  </w:endnote>
  <w:endnote w:type="continuationSeparator" w:id="0">
    <w:p w:rsidR="00F06B8A" w:rsidRDefault="00F06B8A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8A" w:rsidRDefault="00F06B8A" w:rsidP="00095445">
      <w:r>
        <w:separator/>
      </w:r>
    </w:p>
  </w:footnote>
  <w:footnote w:type="continuationSeparator" w:id="0">
    <w:p w:rsidR="00F06B8A" w:rsidRDefault="00F06B8A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54637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5:docId w15:val="{1A62E2E4-7AAF-4E12-90E1-48D98DB0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28F99-1B65-451D-AB4A-3766AF06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Kitty WS NG</cp:lastModifiedBy>
  <cp:revision>2</cp:revision>
  <dcterms:created xsi:type="dcterms:W3CDTF">2015-10-13T06:50:00Z</dcterms:created>
  <dcterms:modified xsi:type="dcterms:W3CDTF">2015-10-13T06:50:00Z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