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2016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19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強制全面要約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中国外运股份有限公司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9723B7" w:rsidRPr="00251CCF" w:rsidTr="00FB14B8">
        <w:trPr>
          <w:tblHeader/>
        </w:trPr>
        <w:tc>
          <w:tcPr>
            <w:tcW w:w="730" w:type="pct"/>
            <w:vMerge w:val="restart"/>
          </w:tcPr>
          <w:p w:rsidR="009723B7" w:rsidRPr="00251CCF" w:rsidRDefault="009723B7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新加坡政府投資公司</w:t>
            </w:r>
          </w:p>
        </w:tc>
        <w:tc>
          <w:tcPr>
            <w:tcW w:w="505" w:type="pct"/>
            <w:vMerge w:val="restart"/>
          </w:tcPr>
          <w:p w:rsidR="009723B7" w:rsidRPr="00251CCF" w:rsidRDefault="009723B7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2016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18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9723B7" w:rsidRPr="00251CCF" w:rsidRDefault="009723B7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1,183,000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$3.6083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119,737,000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5.5824%</w:t>
            </w:r>
          </w:p>
        </w:tc>
      </w:tr>
      <w:tr w:rsidR="009723B7" w:rsidRPr="00251CCF" w:rsidTr="00FB14B8">
        <w:trPr>
          <w:tblHeader/>
        </w:trPr>
        <w:tc>
          <w:tcPr>
            <w:tcW w:w="730" w:type="pct"/>
            <w:vMerge/>
          </w:tcPr>
          <w:p w:rsidR="009723B7" w:rsidRPr="00251CCF" w:rsidRDefault="009723B7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9723B7" w:rsidRPr="00251CCF" w:rsidRDefault="009723B7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9723B7" w:rsidRPr="00251CCF" w:rsidRDefault="009723B7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403,000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$3.6083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120,140,000</w:t>
            </w:r>
          </w:p>
        </w:tc>
        <w:tc>
          <w:tcPr>
            <w:tcW w:w="841" w:type="pct"/>
          </w:tcPr>
          <w:p w:rsidR="009723B7" w:rsidRPr="00251CCF" w:rsidRDefault="009723B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5.6012%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  <w:bookmarkStart w:id="1" w:name="_GoBack"/>
      <w:bookmarkEnd w:id="1"/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新加坡政府投資公司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與受要約公司有關連的第</w:t>
      </w:r>
      <w:r w:rsidR="00BD6CD7" w:rsidRPr="00251CCF">
        <w:rPr>
          <w:noProof/>
          <w:color w:val="auto"/>
          <w:kern w:val="0"/>
        </w:rPr>
        <w:t>(6)</w:t>
      </w:r>
      <w:r w:rsidR="00BD6CD7" w:rsidRPr="00251CCF">
        <w:rPr>
          <w:noProof/>
          <w:color w:val="auto"/>
          <w:kern w:val="0"/>
        </w:rPr>
        <w:t>類別聯繫人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0C52BA" w:rsidRDefault="00870E0A" w:rsidP="00BD6CD7">
      <w:pPr>
        <w:widowControl/>
        <w:topLinePunct/>
        <w:adjustRightInd w:val="0"/>
        <w:rPr>
          <w:rFonts w:hAnsi="新細明體"/>
          <w:bCs/>
          <w:noProof/>
          <w:kern w:val="0"/>
        </w:rPr>
      </w:pPr>
      <w:r w:rsidRPr="00251CCF">
        <w:rPr>
          <w:noProof/>
          <w:color w:val="auto"/>
        </w:rPr>
        <w:t>新加坡政府投資公司</w:t>
      </w:r>
      <w:r w:rsidR="00FC1952" w:rsidRPr="000819AB">
        <w:rPr>
          <w:rFonts w:hAnsi="新細明體"/>
          <w:bCs/>
          <w:noProof/>
          <w:kern w:val="0"/>
        </w:rPr>
        <w:t>憑藉持有</w:t>
      </w:r>
      <w:r w:rsidR="00B26CE1" w:rsidRPr="00251CCF">
        <w:rPr>
          <w:noProof/>
        </w:rPr>
        <w:t>受要約公司</w:t>
      </w:r>
      <w:r w:rsidR="00FC1952" w:rsidRPr="000819AB">
        <w:rPr>
          <w:rFonts w:hAnsi="新細明體"/>
          <w:bCs/>
          <w:noProof/>
          <w:kern w:val="0"/>
        </w:rPr>
        <w:t>的</w:t>
      </w:r>
      <w:r w:rsidR="00B26CE1" w:rsidRPr="00251CCF">
        <w:rPr>
          <w:noProof/>
        </w:rPr>
        <w:t>普通股</w:t>
      </w:r>
      <w:r w:rsidR="00FC1952" w:rsidRPr="000819AB">
        <w:rPr>
          <w:rFonts w:hAnsi="新細明體"/>
          <w:bCs/>
          <w:noProof/>
          <w:kern w:val="0"/>
        </w:rPr>
        <w:t>，所以根據</w:t>
      </w:r>
      <w:r w:rsidR="00070954">
        <w:rPr>
          <w:rFonts w:hAnsi="新細明體"/>
          <w:bCs/>
          <w:noProof/>
          <w:kern w:val="0"/>
        </w:rPr>
        <w:t>第</w:t>
      </w:r>
      <w:r w:rsidR="00070954">
        <w:rPr>
          <w:rFonts w:hAnsi="新細明體"/>
          <w:bCs/>
          <w:noProof/>
          <w:kern w:val="0"/>
        </w:rPr>
        <w:t>(6)</w:t>
      </w:r>
      <w:r w:rsidR="00070954">
        <w:rPr>
          <w:rFonts w:hAnsi="新細明體"/>
          <w:bCs/>
          <w:noProof/>
          <w:kern w:val="0"/>
        </w:rPr>
        <w:t>類</w:t>
      </w:r>
      <w:r w:rsidR="00FC1952">
        <w:rPr>
          <w:rFonts w:hint="eastAsia"/>
          <w:bCs/>
          <w:noProof/>
          <w:kern w:val="0"/>
        </w:rPr>
        <w:t>別</w:t>
      </w:r>
      <w:r w:rsidR="00FC1952" w:rsidRPr="000819AB">
        <w:rPr>
          <w:rFonts w:hAnsi="新細明體"/>
          <w:bCs/>
          <w:noProof/>
          <w:kern w:val="0"/>
        </w:rPr>
        <w:t>屬</w:t>
      </w:r>
      <w:r w:rsidR="005A1CE3" w:rsidRPr="00251CCF">
        <w:rPr>
          <w:noProof/>
        </w:rPr>
        <w:t>受要約公司</w:t>
      </w:r>
      <w:r w:rsidR="00FC1952" w:rsidRPr="000819AB">
        <w:rPr>
          <w:rFonts w:hAnsi="新細明體"/>
          <w:bCs/>
          <w:noProof/>
          <w:kern w:val="0"/>
        </w:rPr>
        <w:t>的聯繫人。</w:t>
      </w:r>
    </w:p>
    <w:p w:rsidR="00825A80" w:rsidRDefault="00286D70" w:rsidP="00BD6CD7">
      <w:pPr>
        <w:widowControl/>
        <w:topLinePunct/>
        <w:adjustRightInd w:val="0"/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新加坡政府投資公司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Minister For Finance (Singapore)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23B7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4B86C072-2AA6-49B2-B7E9-ADE7196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04E67-35C2-489B-BD0F-84B523E7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2016-01-19T03:24:00Z</dcterms:created>
  <dcterms:modified xsi:type="dcterms:W3CDTF">2016-01-19T03:24:00Z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