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06F" w:rsidRPr="00251CCF" w:rsidRDefault="00E8106F" w:rsidP="00095445">
      <w:pPr>
        <w:widowControl/>
        <w:tabs>
          <w:tab w:val="right" w:pos="6840"/>
        </w:tabs>
        <w:topLinePunct/>
        <w:adjustRightInd w:val="0"/>
        <w:rPr>
          <w:color w:val="auto"/>
        </w:rPr>
      </w:pPr>
      <w:r w:rsidRPr="00251CCF">
        <w:rPr>
          <w:noProof/>
          <w:color w:val="auto"/>
        </w:rPr>
        <w:t>2017</w:t>
      </w:r>
      <w:r w:rsidRPr="00251CCF">
        <w:rPr>
          <w:noProof/>
          <w:color w:val="auto"/>
        </w:rPr>
        <w:t>年</w:t>
      </w:r>
      <w:r w:rsidRPr="00251CCF">
        <w:rPr>
          <w:noProof/>
          <w:color w:val="auto"/>
        </w:rPr>
        <w:t>3</w:t>
      </w:r>
      <w:r w:rsidRPr="00251CCF">
        <w:rPr>
          <w:noProof/>
          <w:color w:val="auto"/>
        </w:rPr>
        <w:t>月</w:t>
      </w:r>
      <w:r w:rsidRPr="00251CCF">
        <w:rPr>
          <w:noProof/>
          <w:color w:val="auto"/>
        </w:rPr>
        <w:t>10</w:t>
      </w:r>
      <w:r w:rsidRPr="00251CCF">
        <w:rPr>
          <w:noProof/>
          <w:color w:val="auto"/>
        </w:rPr>
        <w:t>日</w:t>
      </w:r>
    </w:p>
    <w:p w:rsidR="00095445" w:rsidRPr="00251CCF" w:rsidRDefault="00095445" w:rsidP="00095445">
      <w:pPr>
        <w:widowControl/>
        <w:topLinePunct/>
        <w:adjustRightInd w:val="0"/>
        <w:rPr>
          <w:color w:val="00B050"/>
          <w:kern w:val="0"/>
        </w:rPr>
      </w:pPr>
    </w:p>
    <w:p w:rsidR="00095445" w:rsidRPr="00251CCF" w:rsidRDefault="001D79FE" w:rsidP="00095445">
      <w:pPr>
        <w:widowControl/>
        <w:topLinePunct/>
        <w:adjustRightInd w:val="0"/>
        <w:jc w:val="center"/>
        <w:rPr>
          <w:rFonts w:eastAsia="SimSun"/>
          <w:b/>
          <w:noProof/>
          <w:color w:val="0000FF"/>
          <w:kern w:val="0"/>
        </w:rPr>
      </w:pPr>
      <w:r w:rsidRPr="00251CCF">
        <w:rPr>
          <w:b/>
          <w:noProof/>
        </w:rPr>
        <w:t>可能全面要約</w:t>
      </w:r>
    </w:p>
    <w:p w:rsidR="00095445" w:rsidRPr="00251CCF" w:rsidRDefault="00095445" w:rsidP="00095445">
      <w:pPr>
        <w:widowControl/>
        <w:topLinePunct/>
        <w:adjustRightInd w:val="0"/>
        <w:rPr>
          <w:kern w:val="0"/>
          <w:sz w:val="16"/>
          <w:szCs w:val="16"/>
        </w:rPr>
      </w:pPr>
    </w:p>
    <w:p w:rsidR="00555FCB" w:rsidRPr="00251CCF" w:rsidRDefault="007219EC" w:rsidP="00555FCB">
      <w:pPr>
        <w:widowControl/>
        <w:topLinePunct/>
        <w:adjustRightInd w:val="0"/>
        <w:jc w:val="center"/>
        <w:rPr>
          <w:rFonts w:eastAsia="SimSun"/>
          <w:b/>
          <w:noProof/>
          <w:color w:val="0000FF"/>
          <w:kern w:val="0"/>
        </w:rPr>
      </w:pPr>
      <w:r w:rsidRPr="004A775F">
        <w:rPr>
          <w:rFonts w:ascii="新細明體" w:hAnsi="新細明體" w:hint="eastAsia"/>
          <w:b/>
          <w:bCs/>
          <w:kern w:val="0"/>
        </w:rPr>
        <w:t>就</w:t>
      </w:r>
      <w:r w:rsidR="00CD7A42" w:rsidRPr="00251CCF">
        <w:rPr>
          <w:b/>
          <w:noProof/>
        </w:rPr>
        <w:t>盈德氣體集團有限公司</w:t>
      </w:r>
      <w:r w:rsidRPr="004A775F">
        <w:rPr>
          <w:rFonts w:ascii="新細明體" w:hAnsi="新細明體" w:hint="eastAsia"/>
          <w:b/>
          <w:bCs/>
          <w:kern w:val="0"/>
        </w:rPr>
        <w:t>的股份的交易披露</w:t>
      </w:r>
    </w:p>
    <w:p w:rsidR="00095445" w:rsidRPr="00251CCF" w:rsidRDefault="00095445" w:rsidP="00095445">
      <w:pPr>
        <w:widowControl/>
        <w:topLinePunct/>
        <w:adjustRightInd w:val="0"/>
        <w:rPr>
          <w:color w:val="FF0000"/>
          <w:kern w:val="0"/>
          <w:sz w:val="10"/>
          <w:szCs w:val="10"/>
        </w:rPr>
      </w:pPr>
    </w:p>
    <w:p w:rsidR="00095445" w:rsidRPr="00251CCF" w:rsidRDefault="006E68CF" w:rsidP="00095445">
      <w:pPr>
        <w:widowControl/>
        <w:topLinePunct/>
        <w:adjustRightInd w:val="0"/>
        <w:rPr>
          <w:rFonts w:eastAsia="SimSun"/>
          <w:color w:val="FF0000"/>
          <w:kern w:val="0"/>
        </w:rPr>
      </w:pPr>
      <w:bookmarkStart w:id="0" w:name="approvalletterforindividual"/>
      <w:bookmarkEnd w:id="0"/>
      <w:r w:rsidRPr="004A775F">
        <w:rPr>
          <w:rFonts w:ascii="新細明體" w:hAnsi="新細明體" w:hint="eastAsia"/>
          <w:kern w:val="0"/>
        </w:rPr>
        <w:t>執行人員接獲依據香港《公司收購及合併守則》</w:t>
      </w:r>
      <w:r w:rsidRPr="004A775F">
        <w:rPr>
          <w:rFonts w:hAnsi="新細明體"/>
          <w:kern w:val="0"/>
        </w:rPr>
        <w:t>規則</w:t>
      </w:r>
      <w:r w:rsidRPr="004A775F">
        <w:rPr>
          <w:kern w:val="0"/>
        </w:rPr>
        <w:t>22</w:t>
      </w:r>
      <w:r w:rsidRPr="004A775F">
        <w:rPr>
          <w:rFonts w:hAnsi="新細明體"/>
          <w:kern w:val="0"/>
        </w:rPr>
        <w:t>作出</w:t>
      </w:r>
      <w:r w:rsidRPr="004A775F">
        <w:rPr>
          <w:rFonts w:ascii="新細明體" w:hAnsi="新細明體" w:hint="eastAsia"/>
          <w:kern w:val="0"/>
        </w:rPr>
        <w:t>以下的證券交易的披露：</w:t>
      </w:r>
    </w:p>
    <w:p w:rsidR="00FD2B0E" w:rsidRPr="00251CCF" w:rsidRDefault="00FD2B0E" w:rsidP="00095445">
      <w:pPr>
        <w:widowControl/>
        <w:topLinePunct/>
        <w:adjustRightInd w:val="0"/>
        <w:rPr>
          <w:color w:val="5F497A"/>
          <w:kern w:val="0"/>
        </w:rPr>
      </w:pPr>
    </w:p>
    <w:tbl>
      <w:tblPr>
        <w:tblStyle w:val="SFCDefaultTableStyle"/>
        <w:tblW w:w="1540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21"/>
        <w:gridCol w:w="1260"/>
        <w:gridCol w:w="1439"/>
        <w:gridCol w:w="4308"/>
        <w:gridCol w:w="1233"/>
        <w:gridCol w:w="1300"/>
        <w:gridCol w:w="1473"/>
        <w:gridCol w:w="1387"/>
        <w:gridCol w:w="1387"/>
      </w:tblGrid>
      <w:tr w:rsidR="00EE1CD5" w:rsidRPr="00251CCF" w:rsidTr="002E7094">
        <w:trPr>
          <w:tblHeader/>
        </w:trPr>
        <w:tc>
          <w:tcPr>
            <w:tcW w:w="526" w:type="pct"/>
          </w:tcPr>
          <w:p w:rsidR="00095445" w:rsidRPr="00F27018" w:rsidRDefault="00F64EB9" w:rsidP="003A1FC8">
            <w:pPr>
              <w:widowControl/>
              <w:topLinePunct/>
              <w:adjustRightInd w:val="0"/>
              <w:rPr>
                <w:rFonts w:ascii="新細明體" w:hAnsi="新細明體"/>
                <w:bCs/>
              </w:rPr>
            </w:pPr>
            <w:r w:rsidRPr="00F27018">
              <w:rPr>
                <w:rFonts w:ascii="新細明體" w:hAnsi="新細明體" w:hint="eastAsia"/>
                <w:b/>
                <w:bCs/>
              </w:rPr>
              <w:t>交易方</w:t>
            </w:r>
          </w:p>
        </w:tc>
        <w:tc>
          <w:tcPr>
            <w:tcW w:w="409" w:type="pct"/>
          </w:tcPr>
          <w:p w:rsidR="003251AA" w:rsidRPr="00F27018" w:rsidRDefault="003251AA" w:rsidP="00266358">
            <w:pPr>
              <w:widowControl/>
              <w:topLinePunct/>
              <w:adjustRightInd w:val="0"/>
              <w:rPr>
                <w:rFonts w:ascii="新細明體" w:hAnsi="新細明體"/>
                <w:color w:val="5F497A"/>
              </w:rPr>
            </w:pPr>
            <w:r w:rsidRPr="00F27018">
              <w:rPr>
                <w:rFonts w:ascii="新細明體" w:hAnsi="新細明體" w:hint="eastAsia"/>
                <w:b/>
                <w:bCs/>
              </w:rPr>
              <w:t>日期</w:t>
            </w:r>
          </w:p>
        </w:tc>
        <w:tc>
          <w:tcPr>
            <w:tcW w:w="467" w:type="pct"/>
          </w:tcPr>
          <w:p w:rsidR="00F532D5" w:rsidRPr="00F27018" w:rsidRDefault="00F532D5" w:rsidP="00F532D5">
            <w:pPr>
              <w:widowControl/>
              <w:topLinePunct/>
              <w:adjustRightInd w:val="0"/>
              <w:rPr>
                <w:rFonts w:ascii="新細明體" w:hAnsi="新細明體"/>
                <w:color w:val="5F497A"/>
              </w:rPr>
            </w:pPr>
            <w:r w:rsidRPr="00F532D5">
              <w:rPr>
                <w:rFonts w:ascii="新細明體" w:hAnsi="新細明體" w:hint="eastAsia"/>
                <w:b/>
                <w:bCs/>
              </w:rPr>
              <w:t>有關證券的說明</w:t>
            </w:r>
          </w:p>
        </w:tc>
        <w:tc>
          <w:tcPr>
            <w:tcW w:w="1398" w:type="pct"/>
          </w:tcPr>
          <w:p w:rsidR="003251AA" w:rsidRPr="00F27018" w:rsidRDefault="00F532D5" w:rsidP="00F532D5">
            <w:pPr>
              <w:widowControl/>
              <w:topLinePunct/>
              <w:adjustRightInd w:val="0"/>
              <w:rPr>
                <w:rFonts w:ascii="新細明體" w:hAnsi="新細明體"/>
                <w:color w:val="5F497A"/>
                <w:lang w:eastAsia="zh-TW"/>
              </w:rPr>
            </w:pPr>
            <w:r w:rsidRPr="00F532D5">
              <w:rPr>
                <w:rFonts w:ascii="新細明體" w:hAnsi="新細明體" w:hint="eastAsia"/>
                <w:b/>
                <w:bCs/>
                <w:lang w:eastAsia="zh-TW"/>
              </w:rPr>
              <w:t>交易性質</w:t>
            </w:r>
          </w:p>
        </w:tc>
        <w:tc>
          <w:tcPr>
            <w:tcW w:w="400" w:type="pct"/>
          </w:tcPr>
          <w:p w:rsidR="003251AA" w:rsidRPr="00F27018" w:rsidRDefault="003251AA" w:rsidP="00C660B8">
            <w:pPr>
              <w:widowControl/>
              <w:topLinePunct/>
              <w:adjustRightInd w:val="0"/>
              <w:rPr>
                <w:rFonts w:ascii="新細明體" w:hAnsi="新細明體"/>
                <w:b/>
                <w:bCs/>
              </w:rPr>
            </w:pPr>
            <w:r w:rsidRPr="00F27018">
              <w:rPr>
                <w:rFonts w:ascii="新細明體" w:hAnsi="新細明體" w:hint="eastAsia"/>
                <w:b/>
                <w:bCs/>
              </w:rPr>
              <w:t>買入／賣出</w:t>
            </w:r>
          </w:p>
        </w:tc>
        <w:tc>
          <w:tcPr>
            <w:tcW w:w="422" w:type="pct"/>
          </w:tcPr>
          <w:p w:rsidR="003251AA" w:rsidRPr="00F27018" w:rsidRDefault="003251AA" w:rsidP="00C660B8">
            <w:pPr>
              <w:widowControl/>
              <w:topLinePunct/>
              <w:adjustRightInd w:val="0"/>
              <w:rPr>
                <w:rFonts w:ascii="新細明體" w:hAnsi="新細明體"/>
                <w:b/>
                <w:bCs/>
              </w:rPr>
            </w:pPr>
            <w:r w:rsidRPr="00F27018">
              <w:rPr>
                <w:rFonts w:ascii="新細明體" w:hAnsi="新細明體" w:hint="eastAsia"/>
                <w:b/>
                <w:bCs/>
              </w:rPr>
              <w:t>涉及的股份總數</w:t>
            </w:r>
          </w:p>
        </w:tc>
        <w:tc>
          <w:tcPr>
            <w:tcW w:w="478" w:type="pct"/>
          </w:tcPr>
          <w:p w:rsidR="003251AA" w:rsidRPr="00F27018" w:rsidRDefault="003251AA" w:rsidP="00C660B8">
            <w:pPr>
              <w:widowControl/>
              <w:topLinePunct/>
              <w:adjustRightInd w:val="0"/>
              <w:rPr>
                <w:rFonts w:ascii="新細明體" w:hAnsi="新細明體"/>
                <w:b/>
                <w:bCs/>
                <w:lang w:eastAsia="zh-TW"/>
              </w:rPr>
            </w:pPr>
            <w:r w:rsidRPr="00F27018">
              <w:rPr>
                <w:rFonts w:ascii="新細明體" w:hAnsi="新細明體" w:hint="eastAsia"/>
                <w:b/>
                <w:bCs/>
                <w:lang w:eastAsia="zh-TW"/>
              </w:rPr>
              <w:t>已支付／已收取的總金額</w:t>
            </w:r>
          </w:p>
        </w:tc>
        <w:tc>
          <w:tcPr>
            <w:tcW w:w="450" w:type="pct"/>
          </w:tcPr>
          <w:p w:rsidR="003251AA" w:rsidRPr="00F27018" w:rsidRDefault="003251AA" w:rsidP="00482E83">
            <w:pPr>
              <w:widowControl/>
              <w:topLinePunct/>
              <w:adjustRightInd w:val="0"/>
              <w:rPr>
                <w:rFonts w:ascii="新細明體" w:hAnsi="新細明體"/>
                <w:b/>
                <w:bCs/>
                <w:lang w:eastAsia="zh-TW"/>
              </w:rPr>
            </w:pPr>
            <w:r w:rsidRPr="00F27018">
              <w:rPr>
                <w:rFonts w:ascii="新細明體" w:hAnsi="新細明體" w:hint="eastAsia"/>
                <w:b/>
                <w:bCs/>
                <w:lang w:eastAsia="zh-TW"/>
              </w:rPr>
              <w:t>已支付或已收取的最高價（</w:t>
            </w:r>
            <w:r w:rsidRPr="00F27018">
              <w:rPr>
                <w:rFonts w:ascii="新細明體" w:hAnsi="新細明體"/>
                <w:b/>
                <w:bCs/>
                <w:lang w:eastAsia="zh-TW"/>
              </w:rPr>
              <w:t>H</w:t>
            </w:r>
            <w:r w:rsidRPr="00F27018">
              <w:rPr>
                <w:rFonts w:ascii="新細明體" w:hAnsi="新細明體" w:hint="eastAsia"/>
                <w:b/>
                <w:bCs/>
                <w:lang w:eastAsia="zh-TW"/>
              </w:rPr>
              <w:t>）</w:t>
            </w:r>
          </w:p>
        </w:tc>
        <w:tc>
          <w:tcPr>
            <w:tcW w:w="450" w:type="pct"/>
          </w:tcPr>
          <w:p w:rsidR="003251AA" w:rsidRPr="00F27018" w:rsidRDefault="003251AA" w:rsidP="00482E83">
            <w:pPr>
              <w:widowControl/>
              <w:topLinePunct/>
              <w:adjustRightInd w:val="0"/>
              <w:rPr>
                <w:rFonts w:ascii="新細明體" w:hAnsi="新細明體"/>
                <w:b/>
                <w:bCs/>
                <w:lang w:eastAsia="zh-TW"/>
              </w:rPr>
            </w:pPr>
            <w:r w:rsidRPr="00F27018">
              <w:rPr>
                <w:rFonts w:ascii="新細明體" w:hAnsi="新細明體" w:hint="eastAsia"/>
                <w:b/>
                <w:bCs/>
                <w:lang w:eastAsia="zh-TW"/>
              </w:rPr>
              <w:t>已支付或已收取的最低價（</w:t>
            </w:r>
            <w:r w:rsidRPr="00F27018">
              <w:rPr>
                <w:rFonts w:ascii="新細明體" w:hAnsi="新細明體"/>
                <w:b/>
                <w:bCs/>
                <w:lang w:eastAsia="zh-TW"/>
              </w:rPr>
              <w:t>L</w:t>
            </w:r>
            <w:r w:rsidRPr="00F27018">
              <w:rPr>
                <w:rFonts w:ascii="新細明體" w:hAnsi="新細明體" w:hint="eastAsia"/>
                <w:b/>
                <w:bCs/>
                <w:lang w:eastAsia="zh-TW"/>
              </w:rPr>
              <w:t>）</w:t>
            </w:r>
          </w:p>
        </w:tc>
      </w:tr>
      <w:tr w:rsidR="00EE1CD5" w:rsidRPr="00251CCF" w:rsidTr="002E7094">
        <w:trPr>
          <w:tblHeader/>
        </w:trPr>
        <w:tc>
          <w:tcPr>
            <w:tcW w:w="526" w:type="pct"/>
          </w:tcPr>
          <w:p w:rsidR="00095445" w:rsidRPr="00251CCF" w:rsidRDefault="003A1FC8" w:rsidP="00C660B8">
            <w:pPr>
              <w:widowControl/>
              <w:topLinePunct/>
              <w:adjustRightInd w:val="0"/>
            </w:pPr>
            <w:r w:rsidRPr="00251CCF">
              <w:rPr>
                <w:noProof/>
              </w:rPr>
              <w:t>Morgan Stanley &amp; Co., International plc</w:t>
            </w:r>
          </w:p>
        </w:tc>
        <w:tc>
          <w:tcPr>
            <w:tcW w:w="409" w:type="pct"/>
          </w:tcPr>
          <w:p w:rsidR="00095445" w:rsidRPr="00251CCF" w:rsidRDefault="0064768A" w:rsidP="00D471D9">
            <w:pPr>
              <w:widowControl/>
              <w:topLinePunct/>
              <w:adjustRightInd w:val="0"/>
              <w:rPr>
                <w:color w:val="5F497A"/>
              </w:rPr>
            </w:pPr>
            <w:r w:rsidRPr="00251CCF">
              <w:rPr>
                <w:noProof/>
              </w:rPr>
              <w:t>2017</w:t>
            </w:r>
            <w:r w:rsidRPr="00251CCF">
              <w:rPr>
                <w:noProof/>
              </w:rPr>
              <w:t>年</w:t>
            </w:r>
            <w:r w:rsidRPr="00251CCF">
              <w:rPr>
                <w:noProof/>
              </w:rPr>
              <w:t>3</w:t>
            </w:r>
            <w:r w:rsidRPr="00251CCF">
              <w:rPr>
                <w:noProof/>
              </w:rPr>
              <w:t>月</w:t>
            </w:r>
            <w:r w:rsidRPr="00251CCF">
              <w:rPr>
                <w:noProof/>
              </w:rPr>
              <w:t>9</w:t>
            </w:r>
            <w:r w:rsidRPr="00251CCF">
              <w:rPr>
                <w:noProof/>
              </w:rPr>
              <w:t>日</w:t>
            </w:r>
            <w:bookmarkStart w:id="1" w:name="_GoBack"/>
            <w:bookmarkEnd w:id="1"/>
          </w:p>
        </w:tc>
        <w:tc>
          <w:tcPr>
            <w:tcW w:w="467" w:type="pct"/>
          </w:tcPr>
          <w:p w:rsidR="00095445" w:rsidRPr="00251CCF" w:rsidRDefault="00074B36" w:rsidP="00D471D9">
            <w:pPr>
              <w:widowControl/>
              <w:topLinePunct/>
              <w:adjustRightInd w:val="0"/>
              <w:rPr>
                <w:color w:val="5F497A"/>
              </w:rPr>
            </w:pPr>
            <w:r w:rsidRPr="00251CCF">
              <w:rPr>
                <w:noProof/>
              </w:rPr>
              <w:t>普通股</w:t>
            </w:r>
          </w:p>
        </w:tc>
        <w:tc>
          <w:tcPr>
            <w:tcW w:w="1398" w:type="pct"/>
          </w:tcPr>
          <w:p w:rsidR="00095445" w:rsidRPr="00251CCF" w:rsidRDefault="00074B36" w:rsidP="00D471D9">
            <w:pPr>
              <w:widowControl/>
              <w:topLinePunct/>
              <w:adjustRightInd w:val="0"/>
              <w:rPr>
                <w:color w:val="5F497A"/>
                <w:lang w:eastAsia="zh-TW"/>
              </w:rPr>
            </w:pPr>
            <w:r w:rsidRPr="00251CCF">
              <w:rPr>
                <w:noProof/>
                <w:lang w:eastAsia="zh-TW"/>
              </w:rPr>
              <w:t>因全屬客戶主動發出且由客戶需求帶動的買賣盤所產生的</w:t>
            </w:r>
            <w:r w:rsidRPr="00251CCF">
              <w:rPr>
                <w:noProof/>
                <w:lang w:eastAsia="zh-TW"/>
              </w:rPr>
              <w:t>Delta 1</w:t>
            </w:r>
            <w:r w:rsidRPr="00251CCF">
              <w:rPr>
                <w:noProof/>
                <w:lang w:eastAsia="zh-TW"/>
              </w:rPr>
              <w:t>產品的對沖活動</w:t>
            </w:r>
          </w:p>
        </w:tc>
        <w:tc>
          <w:tcPr>
            <w:tcW w:w="400" w:type="pct"/>
          </w:tcPr>
          <w:p w:rsidR="00095445" w:rsidRPr="00251CCF" w:rsidRDefault="00074B36" w:rsidP="00D471D9">
            <w:pPr>
              <w:widowControl/>
              <w:topLinePunct/>
              <w:adjustRightInd w:val="0"/>
            </w:pPr>
            <w:r w:rsidRPr="00251CCF">
              <w:rPr>
                <w:noProof/>
              </w:rPr>
              <w:t>賣出</w:t>
            </w:r>
          </w:p>
        </w:tc>
        <w:tc>
          <w:tcPr>
            <w:tcW w:w="422" w:type="pct"/>
          </w:tcPr>
          <w:p w:rsidR="00095445" w:rsidRPr="00251CCF" w:rsidRDefault="00074B36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1,000</w:t>
            </w:r>
          </w:p>
        </w:tc>
        <w:tc>
          <w:tcPr>
            <w:tcW w:w="478" w:type="pct"/>
          </w:tcPr>
          <w:p w:rsidR="00095445" w:rsidRPr="00251CCF" w:rsidRDefault="00074B36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$6,315.0000</w:t>
            </w:r>
          </w:p>
        </w:tc>
        <w:tc>
          <w:tcPr>
            <w:tcW w:w="450" w:type="pct"/>
          </w:tcPr>
          <w:p w:rsidR="00095445" w:rsidRPr="00251CCF" w:rsidRDefault="0075357B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$6.3600</w:t>
            </w:r>
          </w:p>
        </w:tc>
        <w:tc>
          <w:tcPr>
            <w:tcW w:w="450" w:type="pct"/>
          </w:tcPr>
          <w:p w:rsidR="00095445" w:rsidRPr="00251CCF" w:rsidRDefault="0075357B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$6.2700</w:t>
            </w:r>
          </w:p>
        </w:tc>
      </w:tr>
    </w:tbl>
    <w:p w:rsidR="00FD2B0E" w:rsidRPr="00251CCF" w:rsidRDefault="00FD2B0E" w:rsidP="00FD2B0E">
      <w:pPr>
        <w:widowControl/>
        <w:topLinePunct/>
        <w:adjustRightInd w:val="0"/>
        <w:rPr>
          <w:color w:val="5F497A"/>
          <w:kern w:val="0"/>
        </w:rPr>
      </w:pPr>
    </w:p>
    <w:p w:rsidR="00F408A2" w:rsidRPr="00251CCF" w:rsidRDefault="00BE23C7" w:rsidP="00F408A2">
      <w:pPr>
        <w:widowControl/>
        <w:topLinePunct/>
        <w:adjustRightInd w:val="0"/>
        <w:rPr>
          <w:color w:val="auto"/>
        </w:rPr>
      </w:pPr>
      <w:r w:rsidRPr="00802A41">
        <w:rPr>
          <w:rFonts w:hint="eastAsia"/>
        </w:rPr>
        <w:t>完</w:t>
      </w:r>
    </w:p>
    <w:p w:rsidR="00677E3D" w:rsidRPr="00251CCF" w:rsidRDefault="00677E3D" w:rsidP="00BD6CD7">
      <w:pPr>
        <w:widowControl/>
        <w:topLinePunct/>
        <w:adjustRightInd w:val="0"/>
        <w:rPr>
          <w:color w:val="auto"/>
        </w:rPr>
      </w:pPr>
    </w:p>
    <w:p w:rsidR="00677E3D" w:rsidRPr="00251CCF" w:rsidRDefault="00677E3D" w:rsidP="00BD6CD7">
      <w:pPr>
        <w:widowControl/>
        <w:topLinePunct/>
        <w:adjustRightInd w:val="0"/>
        <w:rPr>
          <w:color w:val="auto"/>
        </w:rPr>
      </w:pPr>
    </w:p>
    <w:p w:rsidR="00462BC6" w:rsidRDefault="009B788E" w:rsidP="00BD6CD7">
      <w:pPr>
        <w:widowControl/>
        <w:topLinePunct/>
        <w:adjustRightInd w:val="0"/>
        <w:rPr>
          <w:rFonts w:hAnsi="新細明體"/>
        </w:rPr>
      </w:pPr>
      <w:r w:rsidRPr="000819AB">
        <w:rPr>
          <w:rFonts w:hAnsi="新細明體"/>
        </w:rPr>
        <w:t>註：</w:t>
      </w:r>
    </w:p>
    <w:p w:rsidR="00AC7B06" w:rsidRDefault="00870E0A" w:rsidP="00AC7B06">
      <w:pPr>
        <w:widowControl/>
        <w:topLinePunct/>
        <w:adjustRightInd w:val="0"/>
      </w:pPr>
      <w:r w:rsidRPr="00251CCF">
        <w:rPr>
          <w:noProof/>
          <w:color w:val="auto"/>
        </w:rPr>
        <w:t>Morgan Stanley &amp; Co., International plc</w:t>
      </w:r>
      <w:r w:rsidR="009B788E" w:rsidRPr="000819AB">
        <w:rPr>
          <w:rFonts w:hAnsi="新細明體"/>
          <w:bCs/>
          <w:noProof/>
          <w:kern w:val="0"/>
        </w:rPr>
        <w:t>是</w:t>
      </w:r>
      <w:r w:rsidR="00BD6CD7" w:rsidRPr="00251CCF">
        <w:rPr>
          <w:noProof/>
          <w:color w:val="auto"/>
          <w:kern w:val="0"/>
        </w:rPr>
        <w:t>與受要約公司有關連的獲豁免自營買賣商</w:t>
      </w:r>
      <w:r w:rsidR="009B788E" w:rsidRPr="000819AB">
        <w:rPr>
          <w:rFonts w:hAnsi="新細明體"/>
          <w:bCs/>
          <w:noProof/>
          <w:kern w:val="0"/>
        </w:rPr>
        <w:t>。</w:t>
      </w:r>
    </w:p>
    <w:p w:rsidR="00863DD7" w:rsidRPr="00251CCF" w:rsidRDefault="00286D70" w:rsidP="00BD6CD7">
      <w:pPr>
        <w:widowControl/>
        <w:topLinePunct/>
        <w:adjustRightInd w:val="0"/>
        <w:rPr>
          <w:color w:val="auto"/>
        </w:rPr>
      </w:pPr>
      <w:r w:rsidRPr="000819AB">
        <w:rPr>
          <w:rFonts w:hAnsi="新細明體"/>
          <w:kern w:val="0"/>
        </w:rPr>
        <w:t>交易是為</w:t>
      </w:r>
      <w:r w:rsidR="00863DD7" w:rsidRPr="00251CCF">
        <w:rPr>
          <w:noProof/>
        </w:rPr>
        <w:t>本身帳戶</w:t>
      </w:r>
      <w:r w:rsidRPr="000819AB">
        <w:rPr>
          <w:rFonts w:hAnsi="新細明體"/>
          <w:kern w:val="0"/>
        </w:rPr>
        <w:t>進行的</w:t>
      </w:r>
      <w:r w:rsidRPr="000819AB">
        <w:rPr>
          <w:rFonts w:hAnsi="新細明體"/>
          <w:bCs/>
          <w:noProof/>
          <w:kern w:val="0"/>
        </w:rPr>
        <w:t>。</w:t>
      </w:r>
    </w:p>
    <w:p w:rsidR="00BD6CD7" w:rsidRPr="00251CCF" w:rsidRDefault="00870E0A" w:rsidP="00BD6CD7">
      <w:pPr>
        <w:widowControl/>
        <w:topLinePunct/>
        <w:adjustRightInd w:val="0"/>
        <w:rPr>
          <w:color w:val="auto"/>
        </w:rPr>
      </w:pPr>
      <w:r w:rsidRPr="00251CCF">
        <w:rPr>
          <w:noProof/>
          <w:color w:val="auto"/>
        </w:rPr>
        <w:t>Morgan Stanley &amp; Co., International plc</w:t>
      </w:r>
      <w:r w:rsidR="00286D70" w:rsidRPr="000819AB">
        <w:rPr>
          <w:rFonts w:hAnsi="新細明體"/>
          <w:bCs/>
          <w:noProof/>
          <w:kern w:val="0"/>
        </w:rPr>
        <w:t>是最終由</w:t>
      </w:r>
      <w:r w:rsidR="005A1CE3" w:rsidRPr="00251CCF">
        <w:rPr>
          <w:noProof/>
        </w:rPr>
        <w:t>摩根士丹利</w:t>
      </w:r>
      <w:r w:rsidR="00286D70" w:rsidRPr="000819AB">
        <w:rPr>
          <w:rFonts w:hAnsi="新細明體"/>
          <w:bCs/>
          <w:noProof/>
          <w:kern w:val="0"/>
        </w:rPr>
        <w:t>擁有的公司。</w:t>
      </w:r>
    </w:p>
    <w:sectPr w:rsidR="00BD6CD7" w:rsidRPr="00251CCF" w:rsidSect="00C543E9">
      <w:headerReference w:type="default" r:id="rId10"/>
      <w:pgSz w:w="16839" w:h="11907" w:orient="landscape" w:code="9"/>
      <w:pgMar w:top="720" w:right="720" w:bottom="720" w:left="720" w:header="864" w:footer="8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B8A" w:rsidRDefault="00F06B8A" w:rsidP="00095445">
      <w:r>
        <w:separator/>
      </w:r>
    </w:p>
  </w:endnote>
  <w:endnote w:type="continuationSeparator" w:id="0">
    <w:p w:rsidR="00F06B8A" w:rsidRDefault="00F06B8A" w:rsidP="00095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B8A" w:rsidRDefault="00F06B8A" w:rsidP="00095445">
      <w:r>
        <w:separator/>
      </w:r>
    </w:p>
  </w:footnote>
  <w:footnote w:type="continuationSeparator" w:id="0">
    <w:p w:rsidR="00F06B8A" w:rsidRDefault="00F06B8A" w:rsidP="000954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445" w:rsidRPr="00251CCF" w:rsidRDefault="00095445" w:rsidP="00095445">
    <w:pPr>
      <w:pStyle w:val="Header"/>
      <w:jc w:val="right"/>
      <w:rPr>
        <w:rFonts w:ascii="Arial" w:hAnsi="Arial" w:cs="Arial"/>
        <w:b/>
        <w:color w:val="83898E"/>
        <w:sz w:val="28"/>
        <w:szCs w:val="28"/>
      </w:rPr>
    </w:pPr>
    <w:r w:rsidRPr="00251CCF">
      <w:rPr>
        <w:rFonts w:ascii="Arial" w:hAnsi="Arial" w:cs="Arial"/>
        <w:b/>
        <w:noProof/>
        <w:color w:val="83898E"/>
        <w:sz w:val="28"/>
        <w:szCs w:val="28"/>
        <w:lang w:val="en-GB" w:eastAsia="zh-CN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column">
            <wp:posOffset>-28575</wp:posOffset>
          </wp:positionH>
          <wp:positionV relativeFrom="paragraph">
            <wp:posOffset>3810</wp:posOffset>
          </wp:positionV>
          <wp:extent cx="3141980" cy="1005840"/>
          <wp:effectExtent l="19050" t="0" r="1270" b="0"/>
          <wp:wrapNone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4198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219EC">
      <w:rPr>
        <w:rFonts w:ascii="Arial" w:hAnsi="Arial" w:cs="Arial" w:hint="eastAsia"/>
        <w:b/>
        <w:noProof/>
        <w:color w:val="83898E"/>
        <w:sz w:val="28"/>
        <w:szCs w:val="28"/>
        <w:lang w:val="en-GB"/>
      </w:rPr>
      <w:t>交易披露</w:t>
    </w:r>
  </w:p>
  <w:p w:rsidR="00095445" w:rsidRPr="00251CCF" w:rsidRDefault="00095445" w:rsidP="00095445">
    <w:pPr>
      <w:pStyle w:val="Header"/>
      <w:jc w:val="right"/>
      <w:rPr>
        <w:rFonts w:ascii="Arial" w:hAnsi="Arial" w:cs="Arial"/>
        <w:b/>
        <w:color w:val="83898E"/>
        <w:sz w:val="28"/>
        <w:szCs w:val="28"/>
      </w:rPr>
    </w:pPr>
  </w:p>
  <w:p w:rsidR="00095445" w:rsidRPr="00251CCF" w:rsidRDefault="00095445" w:rsidP="00095445">
    <w:pPr>
      <w:pStyle w:val="Header"/>
      <w:jc w:val="right"/>
      <w:rPr>
        <w:rFonts w:ascii="Arial" w:hAnsi="Arial" w:cs="Arial"/>
        <w:b/>
        <w:color w:val="83898E"/>
        <w:sz w:val="28"/>
        <w:szCs w:val="28"/>
      </w:rPr>
    </w:pPr>
  </w:p>
  <w:p w:rsidR="00095445" w:rsidRPr="00251CCF" w:rsidRDefault="00095445" w:rsidP="00095445">
    <w:pPr>
      <w:pStyle w:val="Header"/>
      <w:jc w:val="right"/>
      <w:rPr>
        <w:rFonts w:ascii="Arial" w:hAnsi="Arial" w:cs="Arial"/>
        <w:b/>
        <w:color w:val="83898E"/>
        <w:sz w:val="28"/>
        <w:szCs w:val="28"/>
      </w:rPr>
    </w:pPr>
  </w:p>
  <w:p w:rsidR="00095445" w:rsidRPr="00251CCF" w:rsidRDefault="00095445" w:rsidP="00095445">
    <w:pPr>
      <w:pStyle w:val="Header"/>
      <w:jc w:val="right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5445"/>
    <w:rsid w:val="00000890"/>
    <w:rsid w:val="00002D23"/>
    <w:rsid w:val="00004E1E"/>
    <w:rsid w:val="00005022"/>
    <w:rsid w:val="000052C0"/>
    <w:rsid w:val="00012BFF"/>
    <w:rsid w:val="00013571"/>
    <w:rsid w:val="00014B31"/>
    <w:rsid w:val="000211D2"/>
    <w:rsid w:val="00022EF8"/>
    <w:rsid w:val="00023CE5"/>
    <w:rsid w:val="00042BCF"/>
    <w:rsid w:val="00043DF2"/>
    <w:rsid w:val="00044F12"/>
    <w:rsid w:val="0005359F"/>
    <w:rsid w:val="00057782"/>
    <w:rsid w:val="00057E35"/>
    <w:rsid w:val="000631C2"/>
    <w:rsid w:val="00070954"/>
    <w:rsid w:val="00072153"/>
    <w:rsid w:val="00074B36"/>
    <w:rsid w:val="0008754C"/>
    <w:rsid w:val="00087EA7"/>
    <w:rsid w:val="000905D3"/>
    <w:rsid w:val="00090A31"/>
    <w:rsid w:val="00094EA3"/>
    <w:rsid w:val="00095445"/>
    <w:rsid w:val="00097042"/>
    <w:rsid w:val="00097D84"/>
    <w:rsid w:val="000A04D3"/>
    <w:rsid w:val="000A230E"/>
    <w:rsid w:val="000A2D32"/>
    <w:rsid w:val="000A45BF"/>
    <w:rsid w:val="000B0181"/>
    <w:rsid w:val="000C3929"/>
    <w:rsid w:val="000C3C4A"/>
    <w:rsid w:val="000C52BA"/>
    <w:rsid w:val="000D0786"/>
    <w:rsid w:val="000D7135"/>
    <w:rsid w:val="00103085"/>
    <w:rsid w:val="00104FCE"/>
    <w:rsid w:val="0010781A"/>
    <w:rsid w:val="0012673C"/>
    <w:rsid w:val="001442E7"/>
    <w:rsid w:val="0015088D"/>
    <w:rsid w:val="001611BB"/>
    <w:rsid w:val="00163649"/>
    <w:rsid w:val="0018327A"/>
    <w:rsid w:val="00185217"/>
    <w:rsid w:val="00186BEB"/>
    <w:rsid w:val="00187B07"/>
    <w:rsid w:val="001958E8"/>
    <w:rsid w:val="001963C7"/>
    <w:rsid w:val="001A5436"/>
    <w:rsid w:val="001A66EC"/>
    <w:rsid w:val="001B306D"/>
    <w:rsid w:val="001B6F21"/>
    <w:rsid w:val="001C50A3"/>
    <w:rsid w:val="001C5818"/>
    <w:rsid w:val="001D3BC5"/>
    <w:rsid w:val="001D3F1B"/>
    <w:rsid w:val="001D79FE"/>
    <w:rsid w:val="001E2EEC"/>
    <w:rsid w:val="001F74E1"/>
    <w:rsid w:val="00214621"/>
    <w:rsid w:val="00220CF8"/>
    <w:rsid w:val="002212CA"/>
    <w:rsid w:val="002247E1"/>
    <w:rsid w:val="002419AC"/>
    <w:rsid w:val="00246212"/>
    <w:rsid w:val="00246CA4"/>
    <w:rsid w:val="00250EE7"/>
    <w:rsid w:val="00251CCF"/>
    <w:rsid w:val="002616A6"/>
    <w:rsid w:val="00266358"/>
    <w:rsid w:val="00276DA2"/>
    <w:rsid w:val="002818C4"/>
    <w:rsid w:val="00282EFF"/>
    <w:rsid w:val="00286D70"/>
    <w:rsid w:val="00293465"/>
    <w:rsid w:val="00295EA4"/>
    <w:rsid w:val="002A3F92"/>
    <w:rsid w:val="002B6F91"/>
    <w:rsid w:val="002C2988"/>
    <w:rsid w:val="002C3719"/>
    <w:rsid w:val="002D6B63"/>
    <w:rsid w:val="002E2672"/>
    <w:rsid w:val="002E4CB3"/>
    <w:rsid w:val="002E4E9B"/>
    <w:rsid w:val="002E6597"/>
    <w:rsid w:val="002E7094"/>
    <w:rsid w:val="002F3713"/>
    <w:rsid w:val="002F4DA7"/>
    <w:rsid w:val="00307689"/>
    <w:rsid w:val="0031496D"/>
    <w:rsid w:val="00314E54"/>
    <w:rsid w:val="00322E4C"/>
    <w:rsid w:val="003251AA"/>
    <w:rsid w:val="003257DD"/>
    <w:rsid w:val="00330C07"/>
    <w:rsid w:val="00330ECD"/>
    <w:rsid w:val="00332BB0"/>
    <w:rsid w:val="00335251"/>
    <w:rsid w:val="003367F3"/>
    <w:rsid w:val="00347868"/>
    <w:rsid w:val="003644DB"/>
    <w:rsid w:val="00371B28"/>
    <w:rsid w:val="003745FF"/>
    <w:rsid w:val="00383041"/>
    <w:rsid w:val="00383B1C"/>
    <w:rsid w:val="003930AB"/>
    <w:rsid w:val="00397588"/>
    <w:rsid w:val="003A1FC8"/>
    <w:rsid w:val="003A54B5"/>
    <w:rsid w:val="003B5C55"/>
    <w:rsid w:val="003B6290"/>
    <w:rsid w:val="003C6F0F"/>
    <w:rsid w:val="003D34E2"/>
    <w:rsid w:val="003D4F6D"/>
    <w:rsid w:val="003D7392"/>
    <w:rsid w:val="003F39B1"/>
    <w:rsid w:val="003F59F2"/>
    <w:rsid w:val="004107B7"/>
    <w:rsid w:val="0041240A"/>
    <w:rsid w:val="00413ED3"/>
    <w:rsid w:val="004150CE"/>
    <w:rsid w:val="00416DB3"/>
    <w:rsid w:val="00421933"/>
    <w:rsid w:val="00424B0A"/>
    <w:rsid w:val="00427B6F"/>
    <w:rsid w:val="00431C5E"/>
    <w:rsid w:val="00434BCD"/>
    <w:rsid w:val="004364C3"/>
    <w:rsid w:val="004368CB"/>
    <w:rsid w:val="004426BC"/>
    <w:rsid w:val="00447101"/>
    <w:rsid w:val="004568DC"/>
    <w:rsid w:val="00460625"/>
    <w:rsid w:val="004621FF"/>
    <w:rsid w:val="00462BC6"/>
    <w:rsid w:val="0046736A"/>
    <w:rsid w:val="0047498B"/>
    <w:rsid w:val="004812B3"/>
    <w:rsid w:val="0048189C"/>
    <w:rsid w:val="0048191E"/>
    <w:rsid w:val="00482E83"/>
    <w:rsid w:val="00487069"/>
    <w:rsid w:val="00487940"/>
    <w:rsid w:val="0049234F"/>
    <w:rsid w:val="004A19FF"/>
    <w:rsid w:val="004A1A68"/>
    <w:rsid w:val="004A47D1"/>
    <w:rsid w:val="004B493C"/>
    <w:rsid w:val="004B7789"/>
    <w:rsid w:val="004C389B"/>
    <w:rsid w:val="004C4E7F"/>
    <w:rsid w:val="004F4F20"/>
    <w:rsid w:val="004F6CDB"/>
    <w:rsid w:val="0050002A"/>
    <w:rsid w:val="005036A3"/>
    <w:rsid w:val="00510E3F"/>
    <w:rsid w:val="00512543"/>
    <w:rsid w:val="00520F4B"/>
    <w:rsid w:val="00543322"/>
    <w:rsid w:val="00547242"/>
    <w:rsid w:val="005530D7"/>
    <w:rsid w:val="00555FCB"/>
    <w:rsid w:val="00556AE7"/>
    <w:rsid w:val="0057381B"/>
    <w:rsid w:val="00580C68"/>
    <w:rsid w:val="0058416F"/>
    <w:rsid w:val="005921CE"/>
    <w:rsid w:val="005A1CE3"/>
    <w:rsid w:val="005A793D"/>
    <w:rsid w:val="005B076D"/>
    <w:rsid w:val="005B5752"/>
    <w:rsid w:val="005C4AAD"/>
    <w:rsid w:val="005C7BB9"/>
    <w:rsid w:val="005E3A8E"/>
    <w:rsid w:val="005F53A3"/>
    <w:rsid w:val="005F6A83"/>
    <w:rsid w:val="006014DA"/>
    <w:rsid w:val="00602260"/>
    <w:rsid w:val="00604C1F"/>
    <w:rsid w:val="00604C3D"/>
    <w:rsid w:val="006076BD"/>
    <w:rsid w:val="00607D42"/>
    <w:rsid w:val="006132BA"/>
    <w:rsid w:val="00614AC3"/>
    <w:rsid w:val="00616E4C"/>
    <w:rsid w:val="00621F0E"/>
    <w:rsid w:val="00623937"/>
    <w:rsid w:val="00625F92"/>
    <w:rsid w:val="006267CA"/>
    <w:rsid w:val="00633CB7"/>
    <w:rsid w:val="0064433D"/>
    <w:rsid w:val="00645666"/>
    <w:rsid w:val="0064768A"/>
    <w:rsid w:val="00654B1D"/>
    <w:rsid w:val="00657638"/>
    <w:rsid w:val="0066427E"/>
    <w:rsid w:val="00674DE0"/>
    <w:rsid w:val="00676894"/>
    <w:rsid w:val="00677E3D"/>
    <w:rsid w:val="0068320D"/>
    <w:rsid w:val="00685B23"/>
    <w:rsid w:val="00691FC8"/>
    <w:rsid w:val="00693D47"/>
    <w:rsid w:val="00694BC4"/>
    <w:rsid w:val="00694C32"/>
    <w:rsid w:val="006A5D2B"/>
    <w:rsid w:val="006A5F2B"/>
    <w:rsid w:val="006A6E89"/>
    <w:rsid w:val="006B6262"/>
    <w:rsid w:val="006C1F3C"/>
    <w:rsid w:val="006C51B9"/>
    <w:rsid w:val="006E1D08"/>
    <w:rsid w:val="006E369F"/>
    <w:rsid w:val="006E68CF"/>
    <w:rsid w:val="006F0EE4"/>
    <w:rsid w:val="006F1B42"/>
    <w:rsid w:val="00702FF1"/>
    <w:rsid w:val="00703212"/>
    <w:rsid w:val="00710EC4"/>
    <w:rsid w:val="007219EC"/>
    <w:rsid w:val="007256D3"/>
    <w:rsid w:val="007260E4"/>
    <w:rsid w:val="00733D29"/>
    <w:rsid w:val="007367AE"/>
    <w:rsid w:val="007458C5"/>
    <w:rsid w:val="0075357B"/>
    <w:rsid w:val="0075752A"/>
    <w:rsid w:val="00770D7D"/>
    <w:rsid w:val="00772AA3"/>
    <w:rsid w:val="00775142"/>
    <w:rsid w:val="00775391"/>
    <w:rsid w:val="0078627A"/>
    <w:rsid w:val="00787FC8"/>
    <w:rsid w:val="00793072"/>
    <w:rsid w:val="00793731"/>
    <w:rsid w:val="007A31C3"/>
    <w:rsid w:val="007B73E6"/>
    <w:rsid w:val="007C7CBB"/>
    <w:rsid w:val="007D15F5"/>
    <w:rsid w:val="007D677E"/>
    <w:rsid w:val="007D6C28"/>
    <w:rsid w:val="007E3AAD"/>
    <w:rsid w:val="007F76EB"/>
    <w:rsid w:val="008136E8"/>
    <w:rsid w:val="00821203"/>
    <w:rsid w:val="0082312D"/>
    <w:rsid w:val="00825A80"/>
    <w:rsid w:val="008328BA"/>
    <w:rsid w:val="00837502"/>
    <w:rsid w:val="00837C48"/>
    <w:rsid w:val="00841EA7"/>
    <w:rsid w:val="00842972"/>
    <w:rsid w:val="0085093B"/>
    <w:rsid w:val="0086053E"/>
    <w:rsid w:val="00863DD7"/>
    <w:rsid w:val="00865CEB"/>
    <w:rsid w:val="00866FB1"/>
    <w:rsid w:val="00870E0A"/>
    <w:rsid w:val="008771CF"/>
    <w:rsid w:val="008807FA"/>
    <w:rsid w:val="008906B3"/>
    <w:rsid w:val="008922BC"/>
    <w:rsid w:val="008941B0"/>
    <w:rsid w:val="008958C4"/>
    <w:rsid w:val="008A3857"/>
    <w:rsid w:val="008A5784"/>
    <w:rsid w:val="008B52DF"/>
    <w:rsid w:val="008C3518"/>
    <w:rsid w:val="008D04A2"/>
    <w:rsid w:val="008D2D80"/>
    <w:rsid w:val="008E0619"/>
    <w:rsid w:val="00901C7D"/>
    <w:rsid w:val="009047EF"/>
    <w:rsid w:val="00906206"/>
    <w:rsid w:val="00907E54"/>
    <w:rsid w:val="009146EA"/>
    <w:rsid w:val="00932E4E"/>
    <w:rsid w:val="0093760F"/>
    <w:rsid w:val="00943F29"/>
    <w:rsid w:val="00946032"/>
    <w:rsid w:val="00951F12"/>
    <w:rsid w:val="00952B85"/>
    <w:rsid w:val="0096246C"/>
    <w:rsid w:val="0096480A"/>
    <w:rsid w:val="00976E3A"/>
    <w:rsid w:val="00984406"/>
    <w:rsid w:val="00987A85"/>
    <w:rsid w:val="00991F36"/>
    <w:rsid w:val="009B2AD3"/>
    <w:rsid w:val="009B4BE4"/>
    <w:rsid w:val="009B788E"/>
    <w:rsid w:val="009C5249"/>
    <w:rsid w:val="009D6628"/>
    <w:rsid w:val="009E1FDD"/>
    <w:rsid w:val="009F2F64"/>
    <w:rsid w:val="009F6149"/>
    <w:rsid w:val="00A00467"/>
    <w:rsid w:val="00A063B7"/>
    <w:rsid w:val="00A07C16"/>
    <w:rsid w:val="00A115C6"/>
    <w:rsid w:val="00A11C5B"/>
    <w:rsid w:val="00A20955"/>
    <w:rsid w:val="00A225A9"/>
    <w:rsid w:val="00A30901"/>
    <w:rsid w:val="00A32C2A"/>
    <w:rsid w:val="00A3741C"/>
    <w:rsid w:val="00A400A2"/>
    <w:rsid w:val="00A474B1"/>
    <w:rsid w:val="00A4784E"/>
    <w:rsid w:val="00A47F63"/>
    <w:rsid w:val="00A512F9"/>
    <w:rsid w:val="00A558B1"/>
    <w:rsid w:val="00A579E3"/>
    <w:rsid w:val="00A61FD9"/>
    <w:rsid w:val="00A67FAD"/>
    <w:rsid w:val="00A80A94"/>
    <w:rsid w:val="00A80F44"/>
    <w:rsid w:val="00A9281C"/>
    <w:rsid w:val="00AB21F6"/>
    <w:rsid w:val="00AC1D5C"/>
    <w:rsid w:val="00AC3411"/>
    <w:rsid w:val="00AC65CB"/>
    <w:rsid w:val="00AC6EB6"/>
    <w:rsid w:val="00AC7B06"/>
    <w:rsid w:val="00AD0E76"/>
    <w:rsid w:val="00AD104C"/>
    <w:rsid w:val="00AE1A9C"/>
    <w:rsid w:val="00AE270B"/>
    <w:rsid w:val="00B00F6C"/>
    <w:rsid w:val="00B17143"/>
    <w:rsid w:val="00B26CE1"/>
    <w:rsid w:val="00B3607B"/>
    <w:rsid w:val="00B436B4"/>
    <w:rsid w:val="00B50965"/>
    <w:rsid w:val="00B741C1"/>
    <w:rsid w:val="00B87ABC"/>
    <w:rsid w:val="00B87B30"/>
    <w:rsid w:val="00B91B53"/>
    <w:rsid w:val="00BA0373"/>
    <w:rsid w:val="00BA25CC"/>
    <w:rsid w:val="00BA55EF"/>
    <w:rsid w:val="00BB007E"/>
    <w:rsid w:val="00BB19A0"/>
    <w:rsid w:val="00BD6CD7"/>
    <w:rsid w:val="00BE23C7"/>
    <w:rsid w:val="00BF3A8A"/>
    <w:rsid w:val="00BF46CA"/>
    <w:rsid w:val="00C010FF"/>
    <w:rsid w:val="00C07A6A"/>
    <w:rsid w:val="00C239DB"/>
    <w:rsid w:val="00C40F87"/>
    <w:rsid w:val="00C41961"/>
    <w:rsid w:val="00C53FE1"/>
    <w:rsid w:val="00C543E9"/>
    <w:rsid w:val="00C61C7D"/>
    <w:rsid w:val="00C94884"/>
    <w:rsid w:val="00C95E1D"/>
    <w:rsid w:val="00CA6DD4"/>
    <w:rsid w:val="00CB3FFD"/>
    <w:rsid w:val="00CC5967"/>
    <w:rsid w:val="00CD7A42"/>
    <w:rsid w:val="00CE119C"/>
    <w:rsid w:val="00CE5166"/>
    <w:rsid w:val="00CF0963"/>
    <w:rsid w:val="00CF4DC1"/>
    <w:rsid w:val="00CF63C2"/>
    <w:rsid w:val="00D204C6"/>
    <w:rsid w:val="00D21C11"/>
    <w:rsid w:val="00D27BA5"/>
    <w:rsid w:val="00D305C3"/>
    <w:rsid w:val="00D30FA6"/>
    <w:rsid w:val="00D32DAB"/>
    <w:rsid w:val="00D4435A"/>
    <w:rsid w:val="00D44DD4"/>
    <w:rsid w:val="00D471D9"/>
    <w:rsid w:val="00D509D1"/>
    <w:rsid w:val="00D56C92"/>
    <w:rsid w:val="00D57104"/>
    <w:rsid w:val="00D60707"/>
    <w:rsid w:val="00D659A0"/>
    <w:rsid w:val="00D71639"/>
    <w:rsid w:val="00D7399B"/>
    <w:rsid w:val="00D7549C"/>
    <w:rsid w:val="00D77802"/>
    <w:rsid w:val="00D832E5"/>
    <w:rsid w:val="00D97A88"/>
    <w:rsid w:val="00D97F0D"/>
    <w:rsid w:val="00DA00E7"/>
    <w:rsid w:val="00DA5459"/>
    <w:rsid w:val="00DA7C87"/>
    <w:rsid w:val="00DB5B87"/>
    <w:rsid w:val="00DB6F38"/>
    <w:rsid w:val="00DC55B5"/>
    <w:rsid w:val="00DC764F"/>
    <w:rsid w:val="00DE2517"/>
    <w:rsid w:val="00DE6854"/>
    <w:rsid w:val="00E024FB"/>
    <w:rsid w:val="00E12494"/>
    <w:rsid w:val="00E23714"/>
    <w:rsid w:val="00E3003C"/>
    <w:rsid w:val="00E3311D"/>
    <w:rsid w:val="00E406AC"/>
    <w:rsid w:val="00E41BEF"/>
    <w:rsid w:val="00E47DAA"/>
    <w:rsid w:val="00E54308"/>
    <w:rsid w:val="00E60F9B"/>
    <w:rsid w:val="00E632E8"/>
    <w:rsid w:val="00E74A0D"/>
    <w:rsid w:val="00E8106F"/>
    <w:rsid w:val="00E814F6"/>
    <w:rsid w:val="00E90E91"/>
    <w:rsid w:val="00EB336E"/>
    <w:rsid w:val="00EB3C5A"/>
    <w:rsid w:val="00EB438B"/>
    <w:rsid w:val="00EB7B24"/>
    <w:rsid w:val="00EC706A"/>
    <w:rsid w:val="00ED381E"/>
    <w:rsid w:val="00EE1CAD"/>
    <w:rsid w:val="00EE1CD5"/>
    <w:rsid w:val="00EE6A8A"/>
    <w:rsid w:val="00EE6DEB"/>
    <w:rsid w:val="00F06B8A"/>
    <w:rsid w:val="00F139CC"/>
    <w:rsid w:val="00F24F24"/>
    <w:rsid w:val="00F27018"/>
    <w:rsid w:val="00F408A2"/>
    <w:rsid w:val="00F417D5"/>
    <w:rsid w:val="00F4511E"/>
    <w:rsid w:val="00F46B04"/>
    <w:rsid w:val="00F50B50"/>
    <w:rsid w:val="00F516C5"/>
    <w:rsid w:val="00F52650"/>
    <w:rsid w:val="00F532D5"/>
    <w:rsid w:val="00F569C5"/>
    <w:rsid w:val="00F60411"/>
    <w:rsid w:val="00F64EB9"/>
    <w:rsid w:val="00F67391"/>
    <w:rsid w:val="00F74F74"/>
    <w:rsid w:val="00F80FE1"/>
    <w:rsid w:val="00F81B77"/>
    <w:rsid w:val="00F912C7"/>
    <w:rsid w:val="00F94A68"/>
    <w:rsid w:val="00F96DAF"/>
    <w:rsid w:val="00FB14B8"/>
    <w:rsid w:val="00FB22CD"/>
    <w:rsid w:val="00FC1952"/>
    <w:rsid w:val="00FD2B0E"/>
    <w:rsid w:val="00FD470E"/>
    <w:rsid w:val="00FF0B2E"/>
    <w:rsid w:val="00FF695C"/>
    <w:rsid w:val="00FF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/>
    <o:shapelayout v:ext="edit">
      <o:idmap v:ext="edit" data="1"/>
    </o:shapelayout>
  </w:shapeDefaults>
  <w:decimalSymbol w:val="."/>
  <w:listSeparator w:val=","/>
  <w15:docId w15:val="{8A1B92D1-E6F2-4C88-A25F-8D74EE6C0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445"/>
    <w:pPr>
      <w:widowControl w:val="0"/>
    </w:pPr>
    <w:rPr>
      <w:rFonts w:ascii="Arial" w:eastAsia="新細明體" w:hAnsi="Arial" w:cs="Arial"/>
      <w:color w:val="000000"/>
      <w:sz w:val="22"/>
    </w:rPr>
  </w:style>
  <w:style w:type="paragraph" w:styleId="Heading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95445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color w:val="auto"/>
      <w:sz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95445"/>
  </w:style>
  <w:style w:type="paragraph" w:styleId="Footer">
    <w:name w:val="footer"/>
    <w:basedOn w:val="Normal"/>
    <w:link w:val="FooterChar"/>
    <w:uiPriority w:val="99"/>
    <w:semiHidden/>
    <w:unhideWhenUsed/>
    <w:rsid w:val="00095445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color w:val="auto"/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95445"/>
  </w:style>
  <w:style w:type="table" w:customStyle="1" w:styleId="SFCDefaultTableStyle">
    <w:name w:val="SFC Default Table Style"/>
    <w:basedOn w:val="TableNormal"/>
    <w:uiPriority w:val="99"/>
    <w:qFormat/>
    <w:rsid w:val="00095445"/>
    <w:rPr>
      <w:rFonts w:ascii="Arial" w:eastAsia="新細明體" w:hAnsi="Arial" w:cs="Times New Roman"/>
      <w:kern w:val="0"/>
      <w:sz w:val="22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F6EEDF3B955C4693DF8E767040C586" ma:contentTypeVersion="" ma:contentTypeDescription="Create a new document." ma:contentTypeScope="" ma:versionID="25675aa13ef0fceaf3da8092a9f550e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66F973-B6E1-41C1-A0AF-A70C2EAA68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032B55-C300-40C1-9B34-D7E4853484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1F932E1-B2AA-41D3-AC14-131FDC6A4539}">
  <ds:schemaRefs>
    <ds:schemaRef ds:uri="http://schemas.microsoft.com/office/infopath/2007/PartnerControls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E058538-D1D3-4290-87C5-CDB82735C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Securities and Futures Commission</Company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Hankle YH WONG</dc:creator>
  <cp:lastModifiedBy>Kitty WS NG</cp:lastModifiedBy>
  <cp:revision>2</cp:revision>
  <dcterms:created xsi:type="dcterms:W3CDTF">2017-03-10T06:42:00Z</dcterms:created>
  <dcterms:modified xsi:type="dcterms:W3CDTF">2017-03-10T06:42:00Z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0x01010014F6EEDF3B955C4693DF8E767040C586</vt:lpwstr>
  </property>
</Properties>
</file>