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06F" w:rsidRPr="00251CCF" w:rsidRDefault="00E8106F" w:rsidP="00095445">
      <w:pPr>
        <w:widowControl/>
        <w:tabs>
          <w:tab w:val="right" w:pos="6840"/>
        </w:tabs>
        <w:topLinePunct/>
        <w:adjustRightInd w:val="0"/>
        <w:rPr>
          <w:color w:val="auto"/>
        </w:rPr>
      </w:pPr>
      <w:bookmarkStart w:id="0" w:name="_GoBack"/>
      <w:bookmarkEnd w:id="0"/>
      <w:r w:rsidRPr="00251CCF">
        <w:rPr>
          <w:noProof/>
          <w:color w:val="auto"/>
        </w:rPr>
        <w:t>2017</w:t>
      </w:r>
      <w:r w:rsidRPr="00251CCF">
        <w:rPr>
          <w:noProof/>
          <w:color w:val="auto"/>
        </w:rPr>
        <w:t>年</w:t>
      </w:r>
      <w:r w:rsidRPr="00251CCF">
        <w:rPr>
          <w:noProof/>
          <w:color w:val="auto"/>
        </w:rPr>
        <w:t>12</w:t>
      </w:r>
      <w:r w:rsidRPr="00251CCF">
        <w:rPr>
          <w:noProof/>
          <w:color w:val="auto"/>
        </w:rPr>
        <w:t>月</w:t>
      </w:r>
      <w:r w:rsidRPr="00251CCF">
        <w:rPr>
          <w:noProof/>
          <w:color w:val="auto"/>
        </w:rPr>
        <w:t>1</w:t>
      </w:r>
      <w:r w:rsidRPr="00251CCF">
        <w:rPr>
          <w:noProof/>
          <w:color w:val="auto"/>
        </w:rPr>
        <w:t>日</w:t>
      </w:r>
    </w:p>
    <w:p w:rsidR="00095445" w:rsidRPr="00251CCF" w:rsidRDefault="00095445" w:rsidP="00095445">
      <w:pPr>
        <w:widowControl/>
        <w:topLinePunct/>
        <w:adjustRightInd w:val="0"/>
        <w:rPr>
          <w:color w:val="00B050"/>
          <w:kern w:val="0"/>
        </w:rPr>
      </w:pPr>
    </w:p>
    <w:p w:rsidR="00095445" w:rsidRPr="00251CCF" w:rsidRDefault="001D79FE" w:rsidP="00095445">
      <w:pPr>
        <w:widowControl/>
        <w:topLinePunct/>
        <w:adjustRightInd w:val="0"/>
        <w:jc w:val="center"/>
        <w:rPr>
          <w:rFonts w:eastAsia="SimSun"/>
          <w:b/>
          <w:noProof/>
          <w:color w:val="0000FF"/>
          <w:kern w:val="0"/>
        </w:rPr>
      </w:pPr>
      <w:r w:rsidRPr="00251CCF">
        <w:rPr>
          <w:b/>
          <w:noProof/>
        </w:rPr>
        <w:t>透過全面要約進行的股份回購</w:t>
      </w:r>
    </w:p>
    <w:p w:rsidR="00095445" w:rsidRPr="00251CCF" w:rsidRDefault="00095445" w:rsidP="00095445">
      <w:pPr>
        <w:widowControl/>
        <w:topLinePunct/>
        <w:adjustRightInd w:val="0"/>
        <w:rPr>
          <w:kern w:val="0"/>
          <w:sz w:val="16"/>
          <w:szCs w:val="16"/>
        </w:rPr>
      </w:pPr>
    </w:p>
    <w:p w:rsidR="00555FCB" w:rsidRPr="00251CCF" w:rsidRDefault="007219EC" w:rsidP="00555FCB">
      <w:pPr>
        <w:widowControl/>
        <w:topLinePunct/>
        <w:adjustRightInd w:val="0"/>
        <w:jc w:val="center"/>
        <w:rPr>
          <w:rFonts w:eastAsia="SimSun"/>
          <w:b/>
          <w:noProof/>
          <w:color w:val="0000FF"/>
          <w:kern w:val="0"/>
        </w:rPr>
      </w:pPr>
      <w:r w:rsidRPr="004A775F">
        <w:rPr>
          <w:rFonts w:ascii="新細明體" w:hAnsi="新細明體" w:hint="eastAsia"/>
          <w:b/>
          <w:bCs/>
          <w:kern w:val="0"/>
        </w:rPr>
        <w:t>就</w:t>
      </w:r>
      <w:r w:rsidR="00CD7A42" w:rsidRPr="00251CCF">
        <w:rPr>
          <w:b/>
          <w:noProof/>
        </w:rPr>
        <w:t>Television Broadcasts Limited</w:t>
      </w:r>
      <w:r w:rsidRPr="004A775F">
        <w:rPr>
          <w:rFonts w:ascii="新細明體" w:hAnsi="新細明體" w:hint="eastAsia"/>
          <w:b/>
          <w:bCs/>
          <w:kern w:val="0"/>
        </w:rPr>
        <w:t>的股份的交易披露</w:t>
      </w:r>
    </w:p>
    <w:p w:rsidR="00095445" w:rsidRPr="00251CCF" w:rsidRDefault="00095445" w:rsidP="00095445">
      <w:pPr>
        <w:widowControl/>
        <w:topLinePunct/>
        <w:adjustRightInd w:val="0"/>
        <w:rPr>
          <w:color w:val="FF0000"/>
          <w:kern w:val="0"/>
          <w:sz w:val="10"/>
          <w:szCs w:val="10"/>
        </w:rPr>
      </w:pPr>
    </w:p>
    <w:p w:rsidR="00095445" w:rsidRPr="00251CCF" w:rsidRDefault="006E68CF" w:rsidP="00095445">
      <w:pPr>
        <w:widowControl/>
        <w:topLinePunct/>
        <w:adjustRightInd w:val="0"/>
        <w:rPr>
          <w:rFonts w:eastAsia="SimSun"/>
          <w:color w:val="FF0000"/>
          <w:kern w:val="0"/>
        </w:rPr>
      </w:pPr>
      <w:bookmarkStart w:id="1" w:name="approvalletterforindividual"/>
      <w:bookmarkEnd w:id="1"/>
      <w:r w:rsidRPr="004A775F">
        <w:rPr>
          <w:rFonts w:ascii="新細明體" w:hAnsi="新細明體" w:hint="eastAsia"/>
          <w:kern w:val="0"/>
        </w:rPr>
        <w:t>執行人員接獲依據香港《公司收購及合併守則》</w:t>
      </w:r>
      <w:r w:rsidRPr="004A775F">
        <w:rPr>
          <w:rFonts w:hAnsi="新細明體"/>
          <w:kern w:val="0"/>
        </w:rPr>
        <w:t>規則</w:t>
      </w:r>
      <w:r w:rsidRPr="004A775F">
        <w:rPr>
          <w:kern w:val="0"/>
        </w:rPr>
        <w:t>22</w:t>
      </w:r>
      <w:r w:rsidRPr="004A775F">
        <w:rPr>
          <w:rFonts w:hAnsi="新細明體"/>
          <w:kern w:val="0"/>
        </w:rPr>
        <w:t>作出</w:t>
      </w:r>
      <w:r w:rsidRPr="004A775F">
        <w:rPr>
          <w:rFonts w:ascii="新細明體" w:hAnsi="新細明體" w:hint="eastAsia"/>
          <w:kern w:val="0"/>
        </w:rPr>
        <w:t>以下的證券交易的披露：</w:t>
      </w:r>
    </w:p>
    <w:p w:rsidR="00FD2B0E" w:rsidRPr="00251CCF" w:rsidRDefault="00FD2B0E" w:rsidP="00095445">
      <w:pPr>
        <w:widowControl/>
        <w:topLinePunct/>
        <w:adjustRightInd w:val="0"/>
        <w:rPr>
          <w:color w:val="5F497A"/>
          <w:kern w:val="0"/>
        </w:rPr>
      </w:pPr>
    </w:p>
    <w:tbl>
      <w:tblPr>
        <w:tblStyle w:val="SFCDefaultTableStyle"/>
        <w:tblW w:w="15408" w:type="dxa"/>
        <w:tblInd w:w="108" w:type="dxa"/>
        <w:tblLayout w:type="fixed"/>
        <w:tblLook w:val="04A0" w:firstRow="1" w:lastRow="0" w:firstColumn="1" w:lastColumn="0" w:noHBand="0" w:noVBand="1"/>
      </w:tblPr>
      <w:tblGrid>
        <w:gridCol w:w="2251"/>
        <w:gridCol w:w="1556"/>
        <w:gridCol w:w="1233"/>
        <w:gridCol w:w="2592"/>
        <w:gridCol w:w="2592"/>
        <w:gridCol w:w="2592"/>
        <w:gridCol w:w="2592"/>
      </w:tblGrid>
      <w:tr w:rsidR="00F27018" w:rsidRPr="00251CCF" w:rsidTr="00FB14B8">
        <w:trPr>
          <w:tblHeader/>
        </w:trPr>
        <w:tc>
          <w:tcPr>
            <w:tcW w:w="730" w:type="pct"/>
          </w:tcPr>
          <w:p w:rsidR="00F27018" w:rsidRPr="00F532D5" w:rsidRDefault="006267CA">
            <w:pPr>
              <w:rPr>
                <w:rFonts w:ascii="新細明體" w:hAnsi="新細明體"/>
              </w:rPr>
            </w:pPr>
            <w:r w:rsidRPr="00F532D5">
              <w:rPr>
                <w:rFonts w:ascii="新細明體" w:hAnsi="新細明體" w:hint="eastAsia"/>
                <w:b/>
                <w:bCs/>
              </w:rPr>
              <w:t>交易方</w:t>
            </w:r>
          </w:p>
        </w:tc>
        <w:tc>
          <w:tcPr>
            <w:tcW w:w="505" w:type="pct"/>
          </w:tcPr>
          <w:p w:rsidR="00F27018" w:rsidRPr="00F532D5" w:rsidRDefault="006267CA" w:rsidP="00266358">
            <w:pPr>
              <w:widowControl/>
              <w:topLinePunct/>
              <w:adjustRightInd w:val="0"/>
              <w:rPr>
                <w:rFonts w:ascii="新細明體" w:hAnsi="新細明體"/>
              </w:rPr>
            </w:pPr>
            <w:r w:rsidRPr="00F532D5">
              <w:rPr>
                <w:rFonts w:ascii="新細明體" w:hAnsi="新細明體" w:hint="eastAsia"/>
                <w:b/>
                <w:bCs/>
              </w:rPr>
              <w:t>日期</w:t>
            </w:r>
          </w:p>
        </w:tc>
        <w:tc>
          <w:tcPr>
            <w:tcW w:w="400" w:type="pct"/>
          </w:tcPr>
          <w:p w:rsidR="00F27018" w:rsidRPr="00F532D5" w:rsidRDefault="006267CA">
            <w:pPr>
              <w:rPr>
                <w:rFonts w:ascii="新細明體" w:hAnsi="新細明體"/>
              </w:rPr>
            </w:pPr>
            <w:r w:rsidRPr="00F532D5">
              <w:rPr>
                <w:rFonts w:ascii="新細明體" w:hAnsi="新細明體" w:hint="eastAsia"/>
                <w:b/>
                <w:bCs/>
              </w:rPr>
              <w:t>買入／賣出</w:t>
            </w:r>
          </w:p>
        </w:tc>
        <w:tc>
          <w:tcPr>
            <w:tcW w:w="841" w:type="pct"/>
          </w:tcPr>
          <w:p w:rsidR="00F27018" w:rsidRPr="00F532D5" w:rsidRDefault="006267CA" w:rsidP="006267CA">
            <w:pPr>
              <w:rPr>
                <w:rFonts w:ascii="新細明體" w:hAnsi="新細明體"/>
              </w:rPr>
            </w:pPr>
            <w:r w:rsidRPr="00F532D5">
              <w:rPr>
                <w:rFonts w:ascii="新細明體" w:hAnsi="新細明體" w:hint="eastAsia"/>
                <w:b/>
                <w:bCs/>
              </w:rPr>
              <w:t>股份數目</w:t>
            </w:r>
          </w:p>
        </w:tc>
        <w:tc>
          <w:tcPr>
            <w:tcW w:w="841" w:type="pct"/>
          </w:tcPr>
          <w:p w:rsidR="00F27018" w:rsidRPr="00F532D5" w:rsidRDefault="006267CA" w:rsidP="006267CA">
            <w:pPr>
              <w:rPr>
                <w:rFonts w:ascii="新細明體" w:hAnsi="新細明體"/>
              </w:rPr>
            </w:pPr>
            <w:r w:rsidRPr="00F532D5">
              <w:rPr>
                <w:rFonts w:ascii="新細明體" w:hAnsi="新細明體" w:hint="eastAsia"/>
                <w:b/>
                <w:bCs/>
              </w:rPr>
              <w:t>每股價格</w:t>
            </w:r>
          </w:p>
        </w:tc>
        <w:tc>
          <w:tcPr>
            <w:tcW w:w="841" w:type="pct"/>
          </w:tcPr>
          <w:p w:rsidR="00F27018" w:rsidRPr="00F532D5" w:rsidRDefault="006267CA" w:rsidP="006267CA">
            <w:pPr>
              <w:rPr>
                <w:rFonts w:ascii="新細明體" w:hAnsi="新細明體"/>
                <w:lang w:eastAsia="zh-TW"/>
              </w:rPr>
            </w:pPr>
            <w:r w:rsidRPr="00F532D5">
              <w:rPr>
                <w:rFonts w:ascii="新細明體" w:hAnsi="新細明體" w:hint="eastAsia"/>
                <w:b/>
                <w:bCs/>
                <w:lang w:eastAsia="zh-TW"/>
              </w:rPr>
              <w:t>交易後數額（包括與其訂有協議或達成諒解的任何人士的證券）</w:t>
            </w:r>
          </w:p>
        </w:tc>
        <w:tc>
          <w:tcPr>
            <w:tcW w:w="841" w:type="pct"/>
          </w:tcPr>
          <w:p w:rsidR="00F27018" w:rsidRPr="00F532D5" w:rsidRDefault="006267CA" w:rsidP="006267CA">
            <w:pPr>
              <w:rPr>
                <w:rFonts w:ascii="新細明體" w:hAnsi="新細明體"/>
                <w:lang w:eastAsia="zh-TW"/>
              </w:rPr>
            </w:pPr>
            <w:r w:rsidRPr="00F532D5">
              <w:rPr>
                <w:rFonts w:ascii="新細明體" w:hAnsi="新細明體" w:hint="eastAsia"/>
                <w:b/>
                <w:bCs/>
                <w:lang w:eastAsia="zh-TW"/>
              </w:rPr>
              <w:t>佔該類別證券的百分比（包括與其訂有協議或達成諒解的任何人士的證券）%</w:t>
            </w:r>
          </w:p>
        </w:tc>
      </w:tr>
      <w:tr w:rsidR="001F50BA" w:rsidRPr="00251CCF" w:rsidTr="00FB14B8">
        <w:trPr>
          <w:tblHeader/>
        </w:trPr>
        <w:tc>
          <w:tcPr>
            <w:tcW w:w="730" w:type="pct"/>
            <w:vMerge w:val="restart"/>
          </w:tcPr>
          <w:p w:rsidR="001F50BA" w:rsidRPr="00251CCF" w:rsidRDefault="001F50BA" w:rsidP="003A1FC8">
            <w:pPr>
              <w:widowControl/>
              <w:topLinePunct/>
              <w:adjustRightInd w:val="0"/>
            </w:pPr>
            <w:r w:rsidRPr="00251CCF">
              <w:rPr>
                <w:noProof/>
              </w:rPr>
              <w:t>Silchester International Investors LLP</w:t>
            </w:r>
          </w:p>
        </w:tc>
        <w:tc>
          <w:tcPr>
            <w:tcW w:w="505" w:type="pct"/>
            <w:vMerge w:val="restart"/>
          </w:tcPr>
          <w:p w:rsidR="001F50BA" w:rsidRPr="00251CCF" w:rsidRDefault="001F50BA" w:rsidP="00D471D9">
            <w:pPr>
              <w:widowControl/>
              <w:topLinePunct/>
              <w:adjustRightInd w:val="0"/>
              <w:rPr>
                <w:color w:val="5F497A"/>
              </w:rPr>
            </w:pPr>
            <w:r w:rsidRPr="00251CCF">
              <w:rPr>
                <w:noProof/>
              </w:rPr>
              <w:t>2017</w:t>
            </w:r>
            <w:r w:rsidRPr="00251CCF">
              <w:rPr>
                <w:noProof/>
              </w:rPr>
              <w:t>年</w:t>
            </w:r>
            <w:r w:rsidRPr="00251CCF">
              <w:rPr>
                <w:noProof/>
              </w:rPr>
              <w:t>12</w:t>
            </w:r>
            <w:r w:rsidRPr="00251CCF">
              <w:rPr>
                <w:noProof/>
              </w:rPr>
              <w:t>月</w:t>
            </w:r>
            <w:r w:rsidRPr="00251CCF">
              <w:rPr>
                <w:noProof/>
              </w:rPr>
              <w:t>1</w:t>
            </w:r>
            <w:r w:rsidRPr="00251CCF">
              <w:rPr>
                <w:noProof/>
              </w:rPr>
              <w:t>日</w:t>
            </w:r>
          </w:p>
        </w:tc>
        <w:tc>
          <w:tcPr>
            <w:tcW w:w="400" w:type="pct"/>
            <w:vMerge w:val="restart"/>
          </w:tcPr>
          <w:p w:rsidR="001F50BA" w:rsidRPr="00251CCF" w:rsidRDefault="001F50BA" w:rsidP="00D471D9">
            <w:pPr>
              <w:widowControl/>
              <w:topLinePunct/>
              <w:adjustRightInd w:val="0"/>
            </w:pPr>
            <w:r w:rsidRPr="00251CCF">
              <w:rPr>
                <w:noProof/>
              </w:rPr>
              <w:t>買入</w:t>
            </w:r>
          </w:p>
        </w:tc>
        <w:tc>
          <w:tcPr>
            <w:tcW w:w="841" w:type="pct"/>
          </w:tcPr>
          <w:p w:rsidR="001F50BA" w:rsidRPr="00251CCF" w:rsidRDefault="001F50BA" w:rsidP="00D471D9">
            <w:pPr>
              <w:widowControl/>
              <w:topLinePunct/>
              <w:adjustRightInd w:val="0"/>
              <w:jc w:val="right"/>
            </w:pPr>
            <w:r w:rsidRPr="00251CCF">
              <w:rPr>
                <w:noProof/>
              </w:rPr>
              <w:t>400</w:t>
            </w:r>
          </w:p>
        </w:tc>
        <w:tc>
          <w:tcPr>
            <w:tcW w:w="841" w:type="pct"/>
          </w:tcPr>
          <w:p w:rsidR="001F50BA" w:rsidRPr="00251CCF" w:rsidRDefault="001F50BA" w:rsidP="00D471D9">
            <w:pPr>
              <w:widowControl/>
              <w:topLinePunct/>
              <w:adjustRightInd w:val="0"/>
              <w:jc w:val="right"/>
            </w:pPr>
            <w:r w:rsidRPr="00251CCF">
              <w:rPr>
                <w:noProof/>
              </w:rPr>
              <w:t>$27.0500</w:t>
            </w:r>
          </w:p>
        </w:tc>
        <w:tc>
          <w:tcPr>
            <w:tcW w:w="841" w:type="pct"/>
          </w:tcPr>
          <w:p w:rsidR="001F50BA" w:rsidRPr="00251CCF" w:rsidRDefault="001F50BA" w:rsidP="00D471D9">
            <w:pPr>
              <w:widowControl/>
              <w:topLinePunct/>
              <w:adjustRightInd w:val="0"/>
              <w:jc w:val="right"/>
            </w:pPr>
            <w:r w:rsidRPr="00251CCF">
              <w:rPr>
                <w:noProof/>
              </w:rPr>
              <w:t>73,213,800</w:t>
            </w:r>
          </w:p>
        </w:tc>
        <w:tc>
          <w:tcPr>
            <w:tcW w:w="841" w:type="pct"/>
          </w:tcPr>
          <w:p w:rsidR="001F50BA" w:rsidRPr="00251CCF" w:rsidRDefault="001F50BA" w:rsidP="00D471D9">
            <w:pPr>
              <w:widowControl/>
              <w:topLinePunct/>
              <w:adjustRightInd w:val="0"/>
              <w:jc w:val="right"/>
            </w:pPr>
            <w:r w:rsidRPr="00251CCF">
              <w:rPr>
                <w:noProof/>
              </w:rPr>
              <w:t>16.7155%</w:t>
            </w:r>
          </w:p>
        </w:tc>
      </w:tr>
      <w:tr w:rsidR="001F50BA" w:rsidRPr="00251CCF" w:rsidTr="00FB14B8">
        <w:trPr>
          <w:tblHeader/>
        </w:trPr>
        <w:tc>
          <w:tcPr>
            <w:tcW w:w="730" w:type="pct"/>
            <w:vMerge/>
          </w:tcPr>
          <w:p w:rsidR="001F50BA" w:rsidRPr="00251CCF" w:rsidRDefault="001F50BA" w:rsidP="003A1FC8">
            <w:pPr>
              <w:widowControl/>
              <w:topLinePunct/>
              <w:adjustRightInd w:val="0"/>
            </w:pPr>
          </w:p>
        </w:tc>
        <w:tc>
          <w:tcPr>
            <w:tcW w:w="505" w:type="pct"/>
            <w:vMerge/>
          </w:tcPr>
          <w:p w:rsidR="001F50BA" w:rsidRPr="00251CCF" w:rsidRDefault="001F50BA" w:rsidP="00D471D9">
            <w:pPr>
              <w:widowControl/>
              <w:topLinePunct/>
              <w:adjustRightInd w:val="0"/>
              <w:rPr>
                <w:color w:val="5F497A"/>
              </w:rPr>
            </w:pPr>
          </w:p>
        </w:tc>
        <w:tc>
          <w:tcPr>
            <w:tcW w:w="400" w:type="pct"/>
            <w:vMerge/>
          </w:tcPr>
          <w:p w:rsidR="001F50BA" w:rsidRPr="00251CCF" w:rsidRDefault="001F50BA" w:rsidP="00D471D9">
            <w:pPr>
              <w:widowControl/>
              <w:topLinePunct/>
              <w:adjustRightInd w:val="0"/>
            </w:pPr>
          </w:p>
        </w:tc>
        <w:tc>
          <w:tcPr>
            <w:tcW w:w="841" w:type="pct"/>
          </w:tcPr>
          <w:p w:rsidR="001F50BA" w:rsidRPr="00251CCF" w:rsidRDefault="001F50BA" w:rsidP="00D471D9">
            <w:pPr>
              <w:widowControl/>
              <w:topLinePunct/>
              <w:adjustRightInd w:val="0"/>
              <w:jc w:val="right"/>
            </w:pPr>
            <w:r w:rsidRPr="00251CCF">
              <w:rPr>
                <w:noProof/>
              </w:rPr>
              <w:t>1,100</w:t>
            </w:r>
          </w:p>
        </w:tc>
        <w:tc>
          <w:tcPr>
            <w:tcW w:w="841" w:type="pct"/>
          </w:tcPr>
          <w:p w:rsidR="001F50BA" w:rsidRPr="00251CCF" w:rsidRDefault="001F50BA" w:rsidP="00D471D9">
            <w:pPr>
              <w:widowControl/>
              <w:topLinePunct/>
              <w:adjustRightInd w:val="0"/>
              <w:jc w:val="right"/>
            </w:pPr>
            <w:r w:rsidRPr="00251CCF">
              <w:rPr>
                <w:noProof/>
              </w:rPr>
              <w:t>$27.1000</w:t>
            </w:r>
          </w:p>
        </w:tc>
        <w:tc>
          <w:tcPr>
            <w:tcW w:w="841" w:type="pct"/>
          </w:tcPr>
          <w:p w:rsidR="001F50BA" w:rsidRPr="00251CCF" w:rsidRDefault="001F50BA" w:rsidP="00D471D9">
            <w:pPr>
              <w:widowControl/>
              <w:topLinePunct/>
              <w:adjustRightInd w:val="0"/>
              <w:jc w:val="right"/>
            </w:pPr>
            <w:r w:rsidRPr="00251CCF">
              <w:rPr>
                <w:noProof/>
              </w:rPr>
              <w:t>73,214,900</w:t>
            </w:r>
          </w:p>
        </w:tc>
        <w:tc>
          <w:tcPr>
            <w:tcW w:w="841" w:type="pct"/>
          </w:tcPr>
          <w:p w:rsidR="001F50BA" w:rsidRPr="00251CCF" w:rsidRDefault="001F50BA" w:rsidP="00D471D9">
            <w:pPr>
              <w:widowControl/>
              <w:topLinePunct/>
              <w:adjustRightInd w:val="0"/>
              <w:jc w:val="right"/>
            </w:pPr>
            <w:r w:rsidRPr="00251CCF">
              <w:rPr>
                <w:noProof/>
              </w:rPr>
              <w:t>16.7157%</w:t>
            </w:r>
          </w:p>
        </w:tc>
      </w:tr>
      <w:tr w:rsidR="001F50BA" w:rsidRPr="00251CCF" w:rsidTr="00FB14B8">
        <w:trPr>
          <w:tblHeader/>
        </w:trPr>
        <w:tc>
          <w:tcPr>
            <w:tcW w:w="730" w:type="pct"/>
            <w:vMerge/>
          </w:tcPr>
          <w:p w:rsidR="001F50BA" w:rsidRPr="00251CCF" w:rsidRDefault="001F50BA" w:rsidP="003A1FC8">
            <w:pPr>
              <w:widowControl/>
              <w:topLinePunct/>
              <w:adjustRightInd w:val="0"/>
            </w:pPr>
          </w:p>
        </w:tc>
        <w:tc>
          <w:tcPr>
            <w:tcW w:w="505" w:type="pct"/>
            <w:vMerge/>
          </w:tcPr>
          <w:p w:rsidR="001F50BA" w:rsidRPr="00251CCF" w:rsidRDefault="001F50BA" w:rsidP="00D471D9">
            <w:pPr>
              <w:widowControl/>
              <w:topLinePunct/>
              <w:adjustRightInd w:val="0"/>
              <w:rPr>
                <w:color w:val="5F497A"/>
              </w:rPr>
            </w:pPr>
          </w:p>
        </w:tc>
        <w:tc>
          <w:tcPr>
            <w:tcW w:w="400" w:type="pct"/>
            <w:vMerge/>
          </w:tcPr>
          <w:p w:rsidR="001F50BA" w:rsidRPr="00251CCF" w:rsidRDefault="001F50BA" w:rsidP="00D471D9">
            <w:pPr>
              <w:widowControl/>
              <w:topLinePunct/>
              <w:adjustRightInd w:val="0"/>
            </w:pPr>
          </w:p>
        </w:tc>
        <w:tc>
          <w:tcPr>
            <w:tcW w:w="841" w:type="pct"/>
          </w:tcPr>
          <w:p w:rsidR="001F50BA" w:rsidRPr="00251CCF" w:rsidRDefault="001F50BA" w:rsidP="00D471D9">
            <w:pPr>
              <w:widowControl/>
              <w:topLinePunct/>
              <w:adjustRightInd w:val="0"/>
              <w:jc w:val="right"/>
            </w:pPr>
            <w:r w:rsidRPr="00251CCF">
              <w:rPr>
                <w:noProof/>
              </w:rPr>
              <w:t>9,700</w:t>
            </w:r>
          </w:p>
        </w:tc>
        <w:tc>
          <w:tcPr>
            <w:tcW w:w="841" w:type="pct"/>
          </w:tcPr>
          <w:p w:rsidR="001F50BA" w:rsidRPr="00251CCF" w:rsidRDefault="001F50BA" w:rsidP="00D471D9">
            <w:pPr>
              <w:widowControl/>
              <w:topLinePunct/>
              <w:adjustRightInd w:val="0"/>
              <w:jc w:val="right"/>
            </w:pPr>
            <w:r w:rsidRPr="00251CCF">
              <w:rPr>
                <w:noProof/>
              </w:rPr>
              <w:t>$27.1500</w:t>
            </w:r>
          </w:p>
        </w:tc>
        <w:tc>
          <w:tcPr>
            <w:tcW w:w="841" w:type="pct"/>
          </w:tcPr>
          <w:p w:rsidR="001F50BA" w:rsidRPr="00251CCF" w:rsidRDefault="001F50BA" w:rsidP="00D471D9">
            <w:pPr>
              <w:widowControl/>
              <w:topLinePunct/>
              <w:adjustRightInd w:val="0"/>
              <w:jc w:val="right"/>
            </w:pPr>
            <w:r w:rsidRPr="00251CCF">
              <w:rPr>
                <w:noProof/>
              </w:rPr>
              <w:t>73,224,600</w:t>
            </w:r>
          </w:p>
        </w:tc>
        <w:tc>
          <w:tcPr>
            <w:tcW w:w="841" w:type="pct"/>
          </w:tcPr>
          <w:p w:rsidR="001F50BA" w:rsidRPr="00251CCF" w:rsidRDefault="001F50BA" w:rsidP="00D471D9">
            <w:pPr>
              <w:widowControl/>
              <w:topLinePunct/>
              <w:adjustRightInd w:val="0"/>
              <w:jc w:val="right"/>
            </w:pPr>
            <w:r w:rsidRPr="00251CCF">
              <w:rPr>
                <w:noProof/>
              </w:rPr>
              <w:t>16.7179%</w:t>
            </w:r>
          </w:p>
        </w:tc>
      </w:tr>
      <w:tr w:rsidR="001F50BA" w:rsidRPr="00251CCF" w:rsidTr="00FB14B8">
        <w:trPr>
          <w:tblHeader/>
        </w:trPr>
        <w:tc>
          <w:tcPr>
            <w:tcW w:w="730" w:type="pct"/>
            <w:vMerge/>
          </w:tcPr>
          <w:p w:rsidR="001F50BA" w:rsidRPr="00251CCF" w:rsidRDefault="001F50BA" w:rsidP="003A1FC8">
            <w:pPr>
              <w:widowControl/>
              <w:topLinePunct/>
              <w:adjustRightInd w:val="0"/>
            </w:pPr>
          </w:p>
        </w:tc>
        <w:tc>
          <w:tcPr>
            <w:tcW w:w="505" w:type="pct"/>
            <w:vMerge/>
          </w:tcPr>
          <w:p w:rsidR="001F50BA" w:rsidRPr="00251CCF" w:rsidRDefault="001F50BA" w:rsidP="00D471D9">
            <w:pPr>
              <w:widowControl/>
              <w:topLinePunct/>
              <w:adjustRightInd w:val="0"/>
              <w:rPr>
                <w:color w:val="5F497A"/>
              </w:rPr>
            </w:pPr>
          </w:p>
        </w:tc>
        <w:tc>
          <w:tcPr>
            <w:tcW w:w="400" w:type="pct"/>
            <w:vMerge/>
          </w:tcPr>
          <w:p w:rsidR="001F50BA" w:rsidRPr="00251CCF" w:rsidRDefault="001F50BA" w:rsidP="00D471D9">
            <w:pPr>
              <w:widowControl/>
              <w:topLinePunct/>
              <w:adjustRightInd w:val="0"/>
            </w:pPr>
          </w:p>
        </w:tc>
        <w:tc>
          <w:tcPr>
            <w:tcW w:w="841" w:type="pct"/>
          </w:tcPr>
          <w:p w:rsidR="001F50BA" w:rsidRPr="00251CCF" w:rsidRDefault="001F50BA" w:rsidP="00D471D9">
            <w:pPr>
              <w:widowControl/>
              <w:topLinePunct/>
              <w:adjustRightInd w:val="0"/>
              <w:jc w:val="right"/>
            </w:pPr>
            <w:r w:rsidRPr="00251CCF">
              <w:rPr>
                <w:noProof/>
              </w:rPr>
              <w:t>7,600</w:t>
            </w:r>
          </w:p>
        </w:tc>
        <w:tc>
          <w:tcPr>
            <w:tcW w:w="841" w:type="pct"/>
          </w:tcPr>
          <w:p w:rsidR="001F50BA" w:rsidRPr="00251CCF" w:rsidRDefault="001F50BA" w:rsidP="00D471D9">
            <w:pPr>
              <w:widowControl/>
              <w:topLinePunct/>
              <w:adjustRightInd w:val="0"/>
              <w:jc w:val="right"/>
            </w:pPr>
            <w:r w:rsidRPr="00251CCF">
              <w:rPr>
                <w:noProof/>
              </w:rPr>
              <w:t>$27.2000</w:t>
            </w:r>
          </w:p>
        </w:tc>
        <w:tc>
          <w:tcPr>
            <w:tcW w:w="841" w:type="pct"/>
          </w:tcPr>
          <w:p w:rsidR="001F50BA" w:rsidRPr="00251CCF" w:rsidRDefault="001F50BA" w:rsidP="00D471D9">
            <w:pPr>
              <w:widowControl/>
              <w:topLinePunct/>
              <w:adjustRightInd w:val="0"/>
              <w:jc w:val="right"/>
            </w:pPr>
            <w:r w:rsidRPr="00251CCF">
              <w:rPr>
                <w:noProof/>
              </w:rPr>
              <w:t>73,232,200</w:t>
            </w:r>
          </w:p>
        </w:tc>
        <w:tc>
          <w:tcPr>
            <w:tcW w:w="841" w:type="pct"/>
          </w:tcPr>
          <w:p w:rsidR="001F50BA" w:rsidRPr="00251CCF" w:rsidRDefault="001F50BA" w:rsidP="00D471D9">
            <w:pPr>
              <w:widowControl/>
              <w:topLinePunct/>
              <w:adjustRightInd w:val="0"/>
              <w:jc w:val="right"/>
            </w:pPr>
            <w:r w:rsidRPr="00251CCF">
              <w:rPr>
                <w:noProof/>
              </w:rPr>
              <w:t>16.7197%</w:t>
            </w:r>
          </w:p>
        </w:tc>
      </w:tr>
      <w:tr w:rsidR="001F50BA" w:rsidRPr="00251CCF" w:rsidTr="00FB14B8">
        <w:trPr>
          <w:tblHeader/>
        </w:trPr>
        <w:tc>
          <w:tcPr>
            <w:tcW w:w="730" w:type="pct"/>
            <w:vMerge/>
          </w:tcPr>
          <w:p w:rsidR="001F50BA" w:rsidRPr="00251CCF" w:rsidRDefault="001F50BA" w:rsidP="003A1FC8">
            <w:pPr>
              <w:widowControl/>
              <w:topLinePunct/>
              <w:adjustRightInd w:val="0"/>
            </w:pPr>
          </w:p>
        </w:tc>
        <w:tc>
          <w:tcPr>
            <w:tcW w:w="505" w:type="pct"/>
            <w:vMerge/>
          </w:tcPr>
          <w:p w:rsidR="001F50BA" w:rsidRPr="00251CCF" w:rsidRDefault="001F50BA" w:rsidP="00D471D9">
            <w:pPr>
              <w:widowControl/>
              <w:topLinePunct/>
              <w:adjustRightInd w:val="0"/>
              <w:rPr>
                <w:color w:val="5F497A"/>
              </w:rPr>
            </w:pPr>
          </w:p>
        </w:tc>
        <w:tc>
          <w:tcPr>
            <w:tcW w:w="400" w:type="pct"/>
            <w:vMerge/>
          </w:tcPr>
          <w:p w:rsidR="001F50BA" w:rsidRPr="00251CCF" w:rsidRDefault="001F50BA" w:rsidP="00D471D9">
            <w:pPr>
              <w:widowControl/>
              <w:topLinePunct/>
              <w:adjustRightInd w:val="0"/>
            </w:pPr>
          </w:p>
        </w:tc>
        <w:tc>
          <w:tcPr>
            <w:tcW w:w="841" w:type="pct"/>
          </w:tcPr>
          <w:p w:rsidR="001F50BA" w:rsidRPr="00251CCF" w:rsidRDefault="001F50BA" w:rsidP="00D471D9">
            <w:pPr>
              <w:widowControl/>
              <w:topLinePunct/>
              <w:adjustRightInd w:val="0"/>
              <w:jc w:val="right"/>
            </w:pPr>
            <w:r w:rsidRPr="00251CCF">
              <w:rPr>
                <w:noProof/>
              </w:rPr>
              <w:t>9,100</w:t>
            </w:r>
          </w:p>
        </w:tc>
        <w:tc>
          <w:tcPr>
            <w:tcW w:w="841" w:type="pct"/>
          </w:tcPr>
          <w:p w:rsidR="001F50BA" w:rsidRPr="00251CCF" w:rsidRDefault="001F50BA" w:rsidP="00D471D9">
            <w:pPr>
              <w:widowControl/>
              <w:topLinePunct/>
              <w:adjustRightInd w:val="0"/>
              <w:jc w:val="right"/>
            </w:pPr>
            <w:r w:rsidRPr="00251CCF">
              <w:rPr>
                <w:noProof/>
              </w:rPr>
              <w:t>$27.2500</w:t>
            </w:r>
          </w:p>
        </w:tc>
        <w:tc>
          <w:tcPr>
            <w:tcW w:w="841" w:type="pct"/>
          </w:tcPr>
          <w:p w:rsidR="001F50BA" w:rsidRPr="00251CCF" w:rsidRDefault="001F50BA" w:rsidP="00D471D9">
            <w:pPr>
              <w:widowControl/>
              <w:topLinePunct/>
              <w:adjustRightInd w:val="0"/>
              <w:jc w:val="right"/>
            </w:pPr>
            <w:r w:rsidRPr="00251CCF">
              <w:rPr>
                <w:noProof/>
              </w:rPr>
              <w:t>73,241,300</w:t>
            </w:r>
          </w:p>
        </w:tc>
        <w:tc>
          <w:tcPr>
            <w:tcW w:w="841" w:type="pct"/>
          </w:tcPr>
          <w:p w:rsidR="001F50BA" w:rsidRPr="00251CCF" w:rsidRDefault="001F50BA" w:rsidP="00D471D9">
            <w:pPr>
              <w:widowControl/>
              <w:topLinePunct/>
              <w:adjustRightInd w:val="0"/>
              <w:jc w:val="right"/>
            </w:pPr>
            <w:r w:rsidRPr="00251CCF">
              <w:rPr>
                <w:noProof/>
              </w:rPr>
              <w:t>16.7218%</w:t>
            </w:r>
          </w:p>
        </w:tc>
      </w:tr>
      <w:tr w:rsidR="001F50BA" w:rsidRPr="00251CCF" w:rsidTr="00FB14B8">
        <w:trPr>
          <w:tblHeader/>
        </w:trPr>
        <w:tc>
          <w:tcPr>
            <w:tcW w:w="730" w:type="pct"/>
            <w:vMerge/>
          </w:tcPr>
          <w:p w:rsidR="001F50BA" w:rsidRPr="00251CCF" w:rsidRDefault="001F50BA" w:rsidP="003A1FC8">
            <w:pPr>
              <w:widowControl/>
              <w:topLinePunct/>
              <w:adjustRightInd w:val="0"/>
            </w:pPr>
          </w:p>
        </w:tc>
        <w:tc>
          <w:tcPr>
            <w:tcW w:w="505" w:type="pct"/>
            <w:vMerge/>
          </w:tcPr>
          <w:p w:rsidR="001F50BA" w:rsidRPr="00251CCF" w:rsidRDefault="001F50BA" w:rsidP="00D471D9">
            <w:pPr>
              <w:widowControl/>
              <w:topLinePunct/>
              <w:adjustRightInd w:val="0"/>
              <w:rPr>
                <w:color w:val="5F497A"/>
              </w:rPr>
            </w:pPr>
          </w:p>
        </w:tc>
        <w:tc>
          <w:tcPr>
            <w:tcW w:w="400" w:type="pct"/>
            <w:vMerge/>
          </w:tcPr>
          <w:p w:rsidR="001F50BA" w:rsidRPr="00251CCF" w:rsidRDefault="001F50BA" w:rsidP="00D471D9">
            <w:pPr>
              <w:widowControl/>
              <w:topLinePunct/>
              <w:adjustRightInd w:val="0"/>
            </w:pPr>
          </w:p>
        </w:tc>
        <w:tc>
          <w:tcPr>
            <w:tcW w:w="841" w:type="pct"/>
          </w:tcPr>
          <w:p w:rsidR="001F50BA" w:rsidRPr="00251CCF" w:rsidRDefault="001F50BA" w:rsidP="00D471D9">
            <w:pPr>
              <w:widowControl/>
              <w:topLinePunct/>
              <w:adjustRightInd w:val="0"/>
              <w:jc w:val="right"/>
            </w:pPr>
            <w:r w:rsidRPr="00251CCF">
              <w:rPr>
                <w:noProof/>
              </w:rPr>
              <w:t>3,400</w:t>
            </w:r>
          </w:p>
        </w:tc>
        <w:tc>
          <w:tcPr>
            <w:tcW w:w="841" w:type="pct"/>
          </w:tcPr>
          <w:p w:rsidR="001F50BA" w:rsidRPr="00251CCF" w:rsidRDefault="001F50BA" w:rsidP="00D471D9">
            <w:pPr>
              <w:widowControl/>
              <w:topLinePunct/>
              <w:adjustRightInd w:val="0"/>
              <w:jc w:val="right"/>
            </w:pPr>
            <w:r w:rsidRPr="00251CCF">
              <w:rPr>
                <w:noProof/>
              </w:rPr>
              <w:t>$27.3000</w:t>
            </w:r>
          </w:p>
        </w:tc>
        <w:tc>
          <w:tcPr>
            <w:tcW w:w="841" w:type="pct"/>
          </w:tcPr>
          <w:p w:rsidR="001F50BA" w:rsidRPr="00251CCF" w:rsidRDefault="001F50BA" w:rsidP="00D471D9">
            <w:pPr>
              <w:widowControl/>
              <w:topLinePunct/>
              <w:adjustRightInd w:val="0"/>
              <w:jc w:val="right"/>
            </w:pPr>
            <w:r w:rsidRPr="00251CCF">
              <w:rPr>
                <w:noProof/>
              </w:rPr>
              <w:t>73,244,700</w:t>
            </w:r>
          </w:p>
        </w:tc>
        <w:tc>
          <w:tcPr>
            <w:tcW w:w="841" w:type="pct"/>
          </w:tcPr>
          <w:p w:rsidR="001F50BA" w:rsidRPr="00251CCF" w:rsidRDefault="001F50BA" w:rsidP="00D471D9">
            <w:pPr>
              <w:widowControl/>
              <w:topLinePunct/>
              <w:adjustRightInd w:val="0"/>
              <w:jc w:val="right"/>
            </w:pPr>
            <w:r w:rsidRPr="00251CCF">
              <w:rPr>
                <w:noProof/>
              </w:rPr>
              <w:t>16.7225%</w:t>
            </w:r>
          </w:p>
        </w:tc>
      </w:tr>
      <w:tr w:rsidR="001F50BA" w:rsidRPr="00251CCF" w:rsidTr="00FB14B8">
        <w:trPr>
          <w:tblHeader/>
        </w:trPr>
        <w:tc>
          <w:tcPr>
            <w:tcW w:w="730" w:type="pct"/>
            <w:vMerge/>
          </w:tcPr>
          <w:p w:rsidR="001F50BA" w:rsidRPr="00251CCF" w:rsidRDefault="001F50BA" w:rsidP="003A1FC8">
            <w:pPr>
              <w:widowControl/>
              <w:topLinePunct/>
              <w:adjustRightInd w:val="0"/>
            </w:pPr>
          </w:p>
        </w:tc>
        <w:tc>
          <w:tcPr>
            <w:tcW w:w="505" w:type="pct"/>
            <w:vMerge/>
          </w:tcPr>
          <w:p w:rsidR="001F50BA" w:rsidRPr="00251CCF" w:rsidRDefault="001F50BA" w:rsidP="00D471D9">
            <w:pPr>
              <w:widowControl/>
              <w:topLinePunct/>
              <w:adjustRightInd w:val="0"/>
              <w:rPr>
                <w:color w:val="5F497A"/>
              </w:rPr>
            </w:pPr>
          </w:p>
        </w:tc>
        <w:tc>
          <w:tcPr>
            <w:tcW w:w="400" w:type="pct"/>
            <w:vMerge/>
          </w:tcPr>
          <w:p w:rsidR="001F50BA" w:rsidRPr="00251CCF" w:rsidRDefault="001F50BA" w:rsidP="00D471D9">
            <w:pPr>
              <w:widowControl/>
              <w:topLinePunct/>
              <w:adjustRightInd w:val="0"/>
            </w:pPr>
          </w:p>
        </w:tc>
        <w:tc>
          <w:tcPr>
            <w:tcW w:w="841" w:type="pct"/>
          </w:tcPr>
          <w:p w:rsidR="001F50BA" w:rsidRPr="00251CCF" w:rsidRDefault="001F50BA" w:rsidP="00D471D9">
            <w:pPr>
              <w:widowControl/>
              <w:topLinePunct/>
              <w:adjustRightInd w:val="0"/>
              <w:jc w:val="right"/>
            </w:pPr>
            <w:r w:rsidRPr="00251CCF">
              <w:rPr>
                <w:noProof/>
              </w:rPr>
              <w:t>1,300</w:t>
            </w:r>
          </w:p>
        </w:tc>
        <w:tc>
          <w:tcPr>
            <w:tcW w:w="841" w:type="pct"/>
          </w:tcPr>
          <w:p w:rsidR="001F50BA" w:rsidRPr="00251CCF" w:rsidRDefault="001F50BA" w:rsidP="00D471D9">
            <w:pPr>
              <w:widowControl/>
              <w:topLinePunct/>
              <w:adjustRightInd w:val="0"/>
              <w:jc w:val="right"/>
            </w:pPr>
            <w:r w:rsidRPr="00251CCF">
              <w:rPr>
                <w:noProof/>
              </w:rPr>
              <w:t>$27.3500</w:t>
            </w:r>
          </w:p>
        </w:tc>
        <w:tc>
          <w:tcPr>
            <w:tcW w:w="841" w:type="pct"/>
          </w:tcPr>
          <w:p w:rsidR="001F50BA" w:rsidRPr="00251CCF" w:rsidRDefault="001F50BA" w:rsidP="00D471D9">
            <w:pPr>
              <w:widowControl/>
              <w:topLinePunct/>
              <w:adjustRightInd w:val="0"/>
              <w:jc w:val="right"/>
            </w:pPr>
            <w:r w:rsidRPr="00251CCF">
              <w:rPr>
                <w:noProof/>
              </w:rPr>
              <w:t>73,246,000</w:t>
            </w:r>
          </w:p>
        </w:tc>
        <w:tc>
          <w:tcPr>
            <w:tcW w:w="841" w:type="pct"/>
          </w:tcPr>
          <w:p w:rsidR="001F50BA" w:rsidRPr="00251CCF" w:rsidRDefault="001F50BA" w:rsidP="00D471D9">
            <w:pPr>
              <w:widowControl/>
              <w:topLinePunct/>
              <w:adjustRightInd w:val="0"/>
              <w:jc w:val="right"/>
            </w:pPr>
            <w:r w:rsidRPr="00251CCF">
              <w:rPr>
                <w:noProof/>
              </w:rPr>
              <w:t>16.7228%</w:t>
            </w:r>
          </w:p>
        </w:tc>
      </w:tr>
      <w:tr w:rsidR="001F50BA" w:rsidRPr="00251CCF" w:rsidTr="00FB14B8">
        <w:trPr>
          <w:tblHeader/>
        </w:trPr>
        <w:tc>
          <w:tcPr>
            <w:tcW w:w="730" w:type="pct"/>
            <w:vMerge/>
          </w:tcPr>
          <w:p w:rsidR="001F50BA" w:rsidRPr="00251CCF" w:rsidRDefault="001F50BA" w:rsidP="003A1FC8">
            <w:pPr>
              <w:widowControl/>
              <w:topLinePunct/>
              <w:adjustRightInd w:val="0"/>
            </w:pPr>
          </w:p>
        </w:tc>
        <w:tc>
          <w:tcPr>
            <w:tcW w:w="505" w:type="pct"/>
            <w:vMerge/>
          </w:tcPr>
          <w:p w:rsidR="001F50BA" w:rsidRPr="00251CCF" w:rsidRDefault="001F50BA" w:rsidP="00D471D9">
            <w:pPr>
              <w:widowControl/>
              <w:topLinePunct/>
              <w:adjustRightInd w:val="0"/>
              <w:rPr>
                <w:color w:val="5F497A"/>
              </w:rPr>
            </w:pPr>
          </w:p>
        </w:tc>
        <w:tc>
          <w:tcPr>
            <w:tcW w:w="400" w:type="pct"/>
            <w:vMerge/>
          </w:tcPr>
          <w:p w:rsidR="001F50BA" w:rsidRPr="00251CCF" w:rsidRDefault="001F50BA" w:rsidP="00D471D9">
            <w:pPr>
              <w:widowControl/>
              <w:topLinePunct/>
              <w:adjustRightInd w:val="0"/>
            </w:pPr>
          </w:p>
        </w:tc>
        <w:tc>
          <w:tcPr>
            <w:tcW w:w="841" w:type="pct"/>
          </w:tcPr>
          <w:p w:rsidR="001F50BA" w:rsidRPr="00251CCF" w:rsidRDefault="001F50BA" w:rsidP="00D471D9">
            <w:pPr>
              <w:widowControl/>
              <w:topLinePunct/>
              <w:adjustRightInd w:val="0"/>
              <w:jc w:val="right"/>
            </w:pPr>
            <w:r w:rsidRPr="00251CCF">
              <w:rPr>
                <w:noProof/>
              </w:rPr>
              <w:t>900</w:t>
            </w:r>
          </w:p>
        </w:tc>
        <w:tc>
          <w:tcPr>
            <w:tcW w:w="841" w:type="pct"/>
          </w:tcPr>
          <w:p w:rsidR="001F50BA" w:rsidRPr="00251CCF" w:rsidRDefault="001F50BA" w:rsidP="00D471D9">
            <w:pPr>
              <w:widowControl/>
              <w:topLinePunct/>
              <w:adjustRightInd w:val="0"/>
              <w:jc w:val="right"/>
            </w:pPr>
            <w:r w:rsidRPr="00251CCF">
              <w:rPr>
                <w:noProof/>
              </w:rPr>
              <w:t>$27.4000</w:t>
            </w:r>
          </w:p>
        </w:tc>
        <w:tc>
          <w:tcPr>
            <w:tcW w:w="841" w:type="pct"/>
          </w:tcPr>
          <w:p w:rsidR="001F50BA" w:rsidRPr="00251CCF" w:rsidRDefault="001F50BA" w:rsidP="00D471D9">
            <w:pPr>
              <w:widowControl/>
              <w:topLinePunct/>
              <w:adjustRightInd w:val="0"/>
              <w:jc w:val="right"/>
            </w:pPr>
            <w:r w:rsidRPr="00251CCF">
              <w:rPr>
                <w:noProof/>
              </w:rPr>
              <w:t>73,246,900</w:t>
            </w:r>
          </w:p>
        </w:tc>
        <w:tc>
          <w:tcPr>
            <w:tcW w:w="841" w:type="pct"/>
          </w:tcPr>
          <w:p w:rsidR="001F50BA" w:rsidRPr="00251CCF" w:rsidRDefault="001F50BA" w:rsidP="00D471D9">
            <w:pPr>
              <w:widowControl/>
              <w:topLinePunct/>
              <w:adjustRightInd w:val="0"/>
              <w:jc w:val="right"/>
            </w:pPr>
            <w:r w:rsidRPr="00251CCF">
              <w:rPr>
                <w:noProof/>
              </w:rPr>
              <w:t>16.7230%</w:t>
            </w:r>
          </w:p>
        </w:tc>
      </w:tr>
    </w:tbl>
    <w:p w:rsidR="00FD2B0E" w:rsidRPr="00251CCF" w:rsidRDefault="00FD2B0E" w:rsidP="00FD2B0E">
      <w:pPr>
        <w:widowControl/>
        <w:topLinePunct/>
        <w:adjustRightInd w:val="0"/>
        <w:rPr>
          <w:color w:val="5F497A"/>
          <w:kern w:val="0"/>
        </w:rPr>
      </w:pPr>
    </w:p>
    <w:p w:rsidR="00F408A2" w:rsidRPr="00251CCF" w:rsidRDefault="00BE23C7" w:rsidP="00F408A2">
      <w:pPr>
        <w:widowControl/>
        <w:topLinePunct/>
        <w:adjustRightInd w:val="0"/>
        <w:rPr>
          <w:color w:val="auto"/>
        </w:rPr>
      </w:pPr>
      <w:r w:rsidRPr="00802A41">
        <w:rPr>
          <w:rFonts w:hint="eastAsia"/>
        </w:rPr>
        <w:t>完</w:t>
      </w:r>
    </w:p>
    <w:p w:rsidR="00677E3D" w:rsidRPr="00251CCF" w:rsidRDefault="00677E3D" w:rsidP="00BD6CD7">
      <w:pPr>
        <w:widowControl/>
        <w:topLinePunct/>
        <w:adjustRightInd w:val="0"/>
        <w:rPr>
          <w:color w:val="auto"/>
        </w:rPr>
      </w:pPr>
    </w:p>
    <w:p w:rsidR="00677E3D" w:rsidRPr="00251CCF" w:rsidRDefault="00677E3D" w:rsidP="00BD6CD7">
      <w:pPr>
        <w:widowControl/>
        <w:topLinePunct/>
        <w:adjustRightInd w:val="0"/>
        <w:rPr>
          <w:color w:val="auto"/>
        </w:rPr>
      </w:pPr>
    </w:p>
    <w:p w:rsidR="00462BC6" w:rsidRDefault="009B788E" w:rsidP="00BD6CD7">
      <w:pPr>
        <w:widowControl/>
        <w:topLinePunct/>
        <w:adjustRightInd w:val="0"/>
        <w:rPr>
          <w:rFonts w:hAnsi="新細明體"/>
        </w:rPr>
      </w:pPr>
      <w:r w:rsidRPr="000819AB">
        <w:rPr>
          <w:rFonts w:hAnsi="新細明體"/>
        </w:rPr>
        <w:lastRenderedPageBreak/>
        <w:t>註：</w:t>
      </w:r>
    </w:p>
    <w:p w:rsidR="00542F26" w:rsidRPr="00542F26" w:rsidRDefault="00542F26" w:rsidP="00542F26">
      <w:pPr>
        <w:pStyle w:val="ListParagraph"/>
        <w:widowControl/>
        <w:numPr>
          <w:ilvl w:val="0"/>
          <w:numId w:val="1"/>
        </w:numPr>
        <w:topLinePunct/>
        <w:adjustRightInd w:val="0"/>
        <w:rPr>
          <w:rFonts w:hAnsi="新細明體"/>
        </w:rPr>
      </w:pPr>
      <w:r w:rsidRPr="00542F26">
        <w:rPr>
          <w:noProof/>
          <w:kern w:val="0"/>
        </w:rPr>
        <w:t>Silchester International Investors LLP ("Silchester") has confirmed that (a) the closing balance and percentage of shares of TVB under its management and control on the above date was 73,246,900 shares (representing 16.7%); (b) the balances and percentages stated above include, as required by the Executive, 8,437,100 other shares (representing 1.9%) which are instead under the separate management and control by Edgbaston Investment Partners LLP ("Edgbaston" - see the Notes below); (c) such other shares are not aggregated by the Communications Authority ("CA") for the purposes of the Broadcasting Ordinance with shares that are under management by SIlchester; and, (d) the CA has approved Silchester as a voting controller of up to 15% of the aggregate voting control of TVB and Silchester remains in compliance with that cap.</w:t>
      </w:r>
    </w:p>
    <w:p w:rsidR="00AC7B06" w:rsidRDefault="009F6149" w:rsidP="00542F26">
      <w:pPr>
        <w:pStyle w:val="ListParagraph"/>
        <w:widowControl/>
        <w:numPr>
          <w:ilvl w:val="0"/>
          <w:numId w:val="1"/>
        </w:numPr>
        <w:topLinePunct/>
        <w:adjustRightInd w:val="0"/>
      </w:pPr>
      <w:r w:rsidRPr="00542F26">
        <w:rPr>
          <w:noProof/>
          <w:color w:val="auto"/>
        </w:rPr>
        <w:t xml:space="preserve">Silchester International Investors </w:t>
      </w:r>
      <w:proofErr w:type="gramStart"/>
      <w:r w:rsidRPr="00542F26">
        <w:rPr>
          <w:noProof/>
          <w:color w:val="auto"/>
        </w:rPr>
        <w:t>LLP</w:t>
      </w:r>
      <w:r w:rsidR="005E3A8E" w:rsidRPr="00542F26">
        <w:rPr>
          <w:rFonts w:hAnsi="新細明體"/>
          <w:bCs/>
          <w:noProof/>
          <w:kern w:val="0"/>
        </w:rPr>
        <w:t>是</w:t>
      </w:r>
      <w:r w:rsidR="005E3A8E" w:rsidRPr="00542F26">
        <w:rPr>
          <w:rFonts w:hAnsi="新細明體" w:hint="eastAsia"/>
          <w:bCs/>
          <w:noProof/>
          <w:kern w:val="0"/>
        </w:rPr>
        <w:t>與</w:t>
      </w:r>
      <w:r w:rsidR="005E3A8E">
        <w:rPr>
          <w:noProof/>
        </w:rPr>
        <w:t>受要約公司</w:t>
      </w:r>
      <w:r w:rsidR="005E3A8E" w:rsidRPr="005E3A8E">
        <w:rPr>
          <w:rFonts w:hint="eastAsia"/>
        </w:rPr>
        <w:t>有關連的</w:t>
      </w:r>
      <w:r>
        <w:rPr>
          <w:noProof/>
        </w:rPr>
        <w:t>第</w:t>
      </w:r>
      <w:r>
        <w:rPr>
          <w:noProof/>
        </w:rPr>
        <w:t>(</w:t>
      </w:r>
      <w:proofErr w:type="gramEnd"/>
      <w:r>
        <w:rPr>
          <w:noProof/>
        </w:rPr>
        <w:t>6)</w:t>
      </w:r>
      <w:r>
        <w:rPr>
          <w:noProof/>
        </w:rPr>
        <w:t>類別</w:t>
      </w:r>
      <w:r w:rsidR="005E3A8E" w:rsidRPr="005E3A8E">
        <w:rPr>
          <w:rFonts w:hint="eastAsia"/>
        </w:rPr>
        <w:t>聯繫人</w:t>
      </w:r>
      <w:r w:rsidR="005E3A8E" w:rsidRPr="00542F26">
        <w:rPr>
          <w:rFonts w:hAnsi="新細明體"/>
          <w:bCs/>
          <w:noProof/>
          <w:kern w:val="0"/>
        </w:rPr>
        <w:t>。</w:t>
      </w:r>
    </w:p>
    <w:p w:rsidR="00863DD7" w:rsidRPr="00542F26" w:rsidRDefault="00286D70" w:rsidP="00542F26">
      <w:pPr>
        <w:pStyle w:val="ListParagraph"/>
        <w:widowControl/>
        <w:numPr>
          <w:ilvl w:val="0"/>
          <w:numId w:val="1"/>
        </w:numPr>
        <w:topLinePunct/>
        <w:adjustRightInd w:val="0"/>
        <w:rPr>
          <w:color w:val="auto"/>
        </w:rPr>
      </w:pPr>
      <w:r w:rsidRPr="00542F26">
        <w:rPr>
          <w:rFonts w:hAnsi="新細明體"/>
          <w:kern w:val="0"/>
        </w:rPr>
        <w:t>交易是為</w:t>
      </w:r>
      <w:r w:rsidR="00863DD7" w:rsidRPr="00251CCF">
        <w:rPr>
          <w:noProof/>
        </w:rPr>
        <w:t>全權委託投資客戶的帳戶</w:t>
      </w:r>
      <w:r w:rsidRPr="00542F26">
        <w:rPr>
          <w:rFonts w:hAnsi="新細明體"/>
          <w:kern w:val="0"/>
        </w:rPr>
        <w:t>進行的</w:t>
      </w:r>
      <w:r w:rsidRPr="00542F26">
        <w:rPr>
          <w:rFonts w:hAnsi="新細明體"/>
          <w:bCs/>
          <w:noProof/>
          <w:kern w:val="0"/>
        </w:rPr>
        <w:t>。</w:t>
      </w:r>
    </w:p>
    <w:p w:rsidR="00BD6CD7" w:rsidRPr="00542F26" w:rsidRDefault="00870E0A" w:rsidP="00542F26">
      <w:pPr>
        <w:pStyle w:val="ListParagraph"/>
        <w:widowControl/>
        <w:numPr>
          <w:ilvl w:val="0"/>
          <w:numId w:val="1"/>
        </w:numPr>
        <w:topLinePunct/>
        <w:adjustRightInd w:val="0"/>
        <w:rPr>
          <w:color w:val="auto"/>
        </w:rPr>
      </w:pPr>
      <w:r w:rsidRPr="00542F26">
        <w:rPr>
          <w:noProof/>
          <w:color w:val="auto"/>
        </w:rPr>
        <w:t>Silchester International Investors LLP</w:t>
      </w:r>
      <w:r w:rsidR="00286D70" w:rsidRPr="00542F26">
        <w:rPr>
          <w:rFonts w:hAnsi="新細明體"/>
          <w:bCs/>
          <w:noProof/>
          <w:kern w:val="0"/>
        </w:rPr>
        <w:t>是最終由</w:t>
      </w:r>
      <w:r w:rsidR="005A1CE3" w:rsidRPr="00251CCF">
        <w:rPr>
          <w:noProof/>
        </w:rPr>
        <w:t>Stephen C. Butt</w:t>
      </w:r>
      <w:r w:rsidR="00286D70" w:rsidRPr="00542F26">
        <w:rPr>
          <w:rFonts w:hAnsi="新細明體"/>
          <w:bCs/>
          <w:noProof/>
          <w:kern w:val="0"/>
        </w:rPr>
        <w:t>擁有的公司。</w:t>
      </w:r>
    </w:p>
    <w:p w:rsidR="00542F26" w:rsidRDefault="00542F26" w:rsidP="00542F26">
      <w:pPr>
        <w:widowControl/>
        <w:topLinePunct/>
        <w:adjustRightInd w:val="0"/>
        <w:rPr>
          <w:color w:val="auto"/>
        </w:rPr>
      </w:pPr>
    </w:p>
    <w:p w:rsidR="00542F26" w:rsidRDefault="00542F26" w:rsidP="00542F26">
      <w:pPr>
        <w:widowControl/>
        <w:topLinePunct/>
        <w:adjustRightInd w:val="0"/>
        <w:rPr>
          <w:color w:val="auto"/>
        </w:rPr>
      </w:pPr>
    </w:p>
    <w:p w:rsidR="00542F26" w:rsidRDefault="00542F26" w:rsidP="00542F26">
      <w:pPr>
        <w:widowControl/>
        <w:topLinePunct/>
        <w:adjustRightInd w:val="0"/>
        <w:rPr>
          <w:color w:val="auto"/>
        </w:rPr>
      </w:pPr>
    </w:p>
    <w:p w:rsidR="00542F26" w:rsidRDefault="00542F26" w:rsidP="00542F26">
      <w:pPr>
        <w:widowControl/>
        <w:topLinePunct/>
        <w:adjustRightInd w:val="0"/>
        <w:rPr>
          <w:color w:val="auto"/>
        </w:rPr>
      </w:pPr>
    </w:p>
    <w:p w:rsidR="00542F26" w:rsidRDefault="00542F26" w:rsidP="00542F26">
      <w:pPr>
        <w:widowControl/>
        <w:topLinePunct/>
        <w:adjustRightInd w:val="0"/>
        <w:rPr>
          <w:color w:val="auto"/>
        </w:rPr>
      </w:pPr>
    </w:p>
    <w:p w:rsidR="00542F26" w:rsidRDefault="00542F26" w:rsidP="00542F26">
      <w:pPr>
        <w:widowControl/>
        <w:topLinePunct/>
        <w:adjustRightInd w:val="0"/>
        <w:rPr>
          <w:color w:val="auto"/>
        </w:rPr>
      </w:pPr>
    </w:p>
    <w:p w:rsidR="00542F26" w:rsidRDefault="00542F26" w:rsidP="00542F26">
      <w:pPr>
        <w:widowControl/>
        <w:topLinePunct/>
        <w:adjustRightInd w:val="0"/>
        <w:rPr>
          <w:color w:val="auto"/>
        </w:rPr>
      </w:pPr>
    </w:p>
    <w:p w:rsidR="00542F26" w:rsidRDefault="00542F26" w:rsidP="00542F26">
      <w:pPr>
        <w:widowControl/>
        <w:topLinePunct/>
        <w:adjustRightInd w:val="0"/>
        <w:rPr>
          <w:color w:val="auto"/>
        </w:rPr>
      </w:pPr>
    </w:p>
    <w:p w:rsidR="00542F26" w:rsidRDefault="00542F26" w:rsidP="00542F26">
      <w:pPr>
        <w:widowControl/>
        <w:topLinePunct/>
        <w:adjustRightInd w:val="0"/>
        <w:rPr>
          <w:color w:val="auto"/>
        </w:rPr>
      </w:pPr>
    </w:p>
    <w:p w:rsidR="00542F26" w:rsidRDefault="00542F26" w:rsidP="00542F26">
      <w:pPr>
        <w:widowControl/>
        <w:topLinePunct/>
        <w:adjustRightInd w:val="0"/>
        <w:rPr>
          <w:color w:val="auto"/>
        </w:rPr>
      </w:pPr>
    </w:p>
    <w:p w:rsidR="00542F26" w:rsidRDefault="00542F26" w:rsidP="00542F26">
      <w:pPr>
        <w:widowControl/>
        <w:topLinePunct/>
        <w:adjustRightInd w:val="0"/>
        <w:rPr>
          <w:color w:val="auto"/>
        </w:rPr>
      </w:pPr>
    </w:p>
    <w:p w:rsidR="00542F26" w:rsidRDefault="00542F26" w:rsidP="00542F26">
      <w:pPr>
        <w:widowControl/>
        <w:topLinePunct/>
        <w:adjustRightInd w:val="0"/>
        <w:rPr>
          <w:color w:val="auto"/>
        </w:rPr>
      </w:pPr>
    </w:p>
    <w:p w:rsidR="00542F26" w:rsidRDefault="00542F26" w:rsidP="00542F26">
      <w:pPr>
        <w:widowControl/>
        <w:topLinePunct/>
        <w:adjustRightInd w:val="0"/>
        <w:rPr>
          <w:color w:val="auto"/>
        </w:rPr>
      </w:pPr>
    </w:p>
    <w:p w:rsidR="00542F26" w:rsidRDefault="00542F26" w:rsidP="00542F26">
      <w:pPr>
        <w:widowControl/>
        <w:topLinePunct/>
        <w:adjustRightInd w:val="0"/>
        <w:rPr>
          <w:color w:val="auto"/>
        </w:rPr>
      </w:pPr>
    </w:p>
    <w:p w:rsidR="00A230C8" w:rsidRDefault="00A230C8" w:rsidP="00A230C8">
      <w:pPr>
        <w:kinsoku w:val="0"/>
        <w:overflowPunct w:val="0"/>
        <w:autoSpaceDE w:val="0"/>
        <w:autoSpaceDN w:val="0"/>
        <w:adjustRightInd w:val="0"/>
        <w:ind w:left="120"/>
        <w:jc w:val="center"/>
        <w:outlineLvl w:val="0"/>
        <w:rPr>
          <w:rFonts w:ascii="Times New Roman" w:hAnsi="Times New Roman" w:cs="Times New Roman"/>
          <w:b/>
          <w:bCs/>
          <w:color w:val="auto"/>
          <w:spacing w:val="-2"/>
          <w:u w:val="thick"/>
        </w:rPr>
      </w:pPr>
      <w:proofErr w:type="spellStart"/>
      <w:r>
        <w:rPr>
          <w:rFonts w:eastAsiaTheme="minorEastAsia"/>
          <w:b/>
          <w:bCs/>
          <w:spacing w:val="-2"/>
          <w:u w:val="thick"/>
          <w:lang w:eastAsia="zh-CN"/>
        </w:rPr>
        <w:lastRenderedPageBreak/>
        <w:t>Silchester</w:t>
      </w:r>
      <w:proofErr w:type="spellEnd"/>
      <w:r>
        <w:rPr>
          <w:rFonts w:eastAsiaTheme="minorEastAsia"/>
          <w:b/>
          <w:bCs/>
          <w:spacing w:val="-2"/>
          <w:u w:val="thick"/>
          <w:lang w:eastAsia="zh-CN"/>
        </w:rPr>
        <w:t xml:space="preserve"> International Investors LLP</w:t>
      </w:r>
    </w:p>
    <w:p w:rsidR="00A230C8" w:rsidRDefault="00A230C8" w:rsidP="00A230C8">
      <w:pPr>
        <w:kinsoku w:val="0"/>
        <w:overflowPunct w:val="0"/>
        <w:autoSpaceDE w:val="0"/>
        <w:autoSpaceDN w:val="0"/>
        <w:adjustRightInd w:val="0"/>
        <w:ind w:left="120"/>
        <w:jc w:val="center"/>
        <w:outlineLvl w:val="0"/>
        <w:rPr>
          <w:b/>
          <w:bCs/>
          <w:spacing w:val="-2"/>
          <w:u w:val="thick"/>
        </w:rPr>
      </w:pPr>
      <w:r>
        <w:rPr>
          <w:rFonts w:hint="eastAsia"/>
          <w:b/>
          <w:bCs/>
          <w:spacing w:val="-2"/>
          <w:u w:val="thick"/>
        </w:rPr>
        <w:t>關於根據香港《收購及合併守則》第</w:t>
      </w:r>
      <w:r>
        <w:rPr>
          <w:b/>
          <w:bCs/>
          <w:spacing w:val="-2"/>
          <w:u w:val="thick"/>
        </w:rPr>
        <w:t>22</w:t>
      </w:r>
      <w:r>
        <w:rPr>
          <w:rFonts w:hint="eastAsia"/>
          <w:b/>
          <w:bCs/>
          <w:spacing w:val="-2"/>
          <w:u w:val="thick"/>
        </w:rPr>
        <w:t>條</w:t>
      </w:r>
    </w:p>
    <w:p w:rsidR="00A230C8" w:rsidRDefault="00A230C8" w:rsidP="00A230C8">
      <w:pPr>
        <w:kinsoku w:val="0"/>
        <w:overflowPunct w:val="0"/>
        <w:autoSpaceDE w:val="0"/>
        <w:autoSpaceDN w:val="0"/>
        <w:adjustRightInd w:val="0"/>
        <w:ind w:left="120"/>
        <w:jc w:val="center"/>
        <w:outlineLvl w:val="0"/>
        <w:rPr>
          <w:rFonts w:eastAsiaTheme="minorEastAsia"/>
        </w:rPr>
      </w:pPr>
      <w:r>
        <w:rPr>
          <w:rFonts w:hint="eastAsia"/>
          <w:b/>
          <w:bCs/>
          <w:spacing w:val="-2"/>
          <w:u w:val="thick"/>
        </w:rPr>
        <w:t>就電視廣播有限公司（「無線電視」）股份交易作出披露之相關資料</w:t>
      </w:r>
    </w:p>
    <w:p w:rsidR="00A230C8" w:rsidRDefault="00A230C8" w:rsidP="00A230C8">
      <w:pPr>
        <w:kinsoku w:val="0"/>
        <w:overflowPunct w:val="0"/>
        <w:autoSpaceDE w:val="0"/>
        <w:autoSpaceDN w:val="0"/>
        <w:adjustRightInd w:val="0"/>
        <w:rPr>
          <w:rFonts w:eastAsiaTheme="minorEastAsia"/>
          <w:b/>
          <w:bCs/>
          <w:sz w:val="20"/>
          <w:szCs w:val="20"/>
        </w:rPr>
      </w:pPr>
    </w:p>
    <w:p w:rsidR="00A230C8" w:rsidRDefault="00A230C8" w:rsidP="00A230C8">
      <w:pPr>
        <w:kinsoku w:val="0"/>
        <w:overflowPunct w:val="0"/>
        <w:autoSpaceDE w:val="0"/>
        <w:autoSpaceDN w:val="0"/>
        <w:adjustRightInd w:val="0"/>
        <w:spacing w:before="32"/>
        <w:ind w:left="120" w:right="117"/>
        <w:jc w:val="both"/>
        <w:rPr>
          <w:spacing w:val="-1"/>
        </w:rPr>
      </w:pPr>
      <w:proofErr w:type="spellStart"/>
      <w:r>
        <w:rPr>
          <w:rFonts w:eastAsiaTheme="minorEastAsia"/>
          <w:spacing w:val="-1"/>
          <w:lang w:eastAsia="zh-CN"/>
        </w:rPr>
        <w:t>Silchester</w:t>
      </w:r>
      <w:proofErr w:type="spellEnd"/>
      <w:r>
        <w:rPr>
          <w:rFonts w:eastAsiaTheme="minorEastAsia"/>
          <w:spacing w:val="-4"/>
          <w:lang w:eastAsia="zh-CN"/>
        </w:rPr>
        <w:t xml:space="preserve"> </w:t>
      </w:r>
      <w:r>
        <w:rPr>
          <w:rFonts w:eastAsiaTheme="minorEastAsia"/>
          <w:spacing w:val="-2"/>
          <w:lang w:eastAsia="zh-CN"/>
        </w:rPr>
        <w:t>International</w:t>
      </w:r>
      <w:r>
        <w:rPr>
          <w:rFonts w:eastAsiaTheme="minorEastAsia"/>
          <w:spacing w:val="18"/>
          <w:lang w:eastAsia="zh-CN"/>
        </w:rPr>
        <w:t xml:space="preserve"> </w:t>
      </w:r>
      <w:r>
        <w:rPr>
          <w:rFonts w:eastAsiaTheme="minorEastAsia"/>
          <w:spacing w:val="-2"/>
          <w:lang w:eastAsia="zh-CN"/>
        </w:rPr>
        <w:t>Investors</w:t>
      </w:r>
      <w:r>
        <w:rPr>
          <w:rFonts w:eastAsiaTheme="minorEastAsia"/>
          <w:spacing w:val="17"/>
          <w:lang w:eastAsia="zh-CN"/>
        </w:rPr>
        <w:t xml:space="preserve"> </w:t>
      </w:r>
      <w:r>
        <w:rPr>
          <w:rFonts w:eastAsiaTheme="minorEastAsia"/>
          <w:spacing w:val="-2"/>
          <w:lang w:eastAsia="zh-CN"/>
        </w:rPr>
        <w:t>LLP</w:t>
      </w:r>
      <w:r>
        <w:rPr>
          <w:rFonts w:hint="eastAsia"/>
          <w:spacing w:val="-2"/>
        </w:rPr>
        <w:t>（「</w:t>
      </w:r>
      <w:proofErr w:type="spellStart"/>
      <w:r>
        <w:rPr>
          <w:rFonts w:eastAsiaTheme="minorEastAsia"/>
          <w:b/>
          <w:bCs/>
          <w:spacing w:val="-2"/>
          <w:lang w:eastAsia="zh-CN"/>
        </w:rPr>
        <w:t>Silchester</w:t>
      </w:r>
      <w:proofErr w:type="spellEnd"/>
      <w:r>
        <w:rPr>
          <w:rFonts w:hint="eastAsia"/>
          <w:spacing w:val="-2"/>
        </w:rPr>
        <w:t>」）已就無線電視的普通股交易，以</w:t>
      </w:r>
      <w:proofErr w:type="spellStart"/>
      <w:r>
        <w:rPr>
          <w:rFonts w:eastAsiaTheme="minorEastAsia"/>
          <w:spacing w:val="-1"/>
          <w:lang w:eastAsia="zh-CN"/>
        </w:rPr>
        <w:t>Edgbaston</w:t>
      </w:r>
      <w:proofErr w:type="spellEnd"/>
      <w:r>
        <w:rPr>
          <w:rFonts w:eastAsiaTheme="minorEastAsia"/>
          <w:lang w:eastAsia="zh-CN"/>
        </w:rPr>
        <w:t xml:space="preserve"> </w:t>
      </w:r>
      <w:r>
        <w:rPr>
          <w:rFonts w:eastAsiaTheme="minorEastAsia"/>
          <w:spacing w:val="-1"/>
          <w:lang w:eastAsia="zh-CN"/>
        </w:rPr>
        <w:t>Investment</w:t>
      </w:r>
      <w:r>
        <w:rPr>
          <w:rFonts w:eastAsiaTheme="minorEastAsia"/>
          <w:spacing w:val="1"/>
          <w:lang w:eastAsia="zh-CN"/>
        </w:rPr>
        <w:t xml:space="preserve"> </w:t>
      </w:r>
      <w:r>
        <w:rPr>
          <w:rFonts w:eastAsiaTheme="minorEastAsia"/>
          <w:spacing w:val="-1"/>
          <w:lang w:eastAsia="zh-CN"/>
        </w:rPr>
        <w:t>Partners</w:t>
      </w:r>
      <w:r>
        <w:rPr>
          <w:rFonts w:eastAsiaTheme="minorEastAsia"/>
          <w:lang w:eastAsia="zh-CN"/>
        </w:rPr>
        <w:t xml:space="preserve"> </w:t>
      </w:r>
      <w:r>
        <w:rPr>
          <w:rFonts w:eastAsiaTheme="minorEastAsia"/>
          <w:spacing w:val="-1"/>
          <w:lang w:eastAsia="zh-CN"/>
        </w:rPr>
        <w:t>LLP</w:t>
      </w:r>
      <w:r>
        <w:rPr>
          <w:rFonts w:hint="eastAsia"/>
          <w:spacing w:val="-1"/>
        </w:rPr>
        <w:t>（「</w:t>
      </w:r>
      <w:proofErr w:type="spellStart"/>
      <w:r>
        <w:rPr>
          <w:rFonts w:eastAsiaTheme="minorEastAsia"/>
          <w:b/>
          <w:bCs/>
          <w:spacing w:val="-1"/>
          <w:lang w:eastAsia="zh-CN"/>
        </w:rPr>
        <w:t>Edgbaston</w:t>
      </w:r>
      <w:proofErr w:type="spellEnd"/>
      <w:r>
        <w:rPr>
          <w:rFonts w:hint="eastAsia"/>
          <w:spacing w:val="-1"/>
        </w:rPr>
        <w:t>」）所控權股份與</w:t>
      </w:r>
      <w:proofErr w:type="spellStart"/>
      <w:r>
        <w:rPr>
          <w:spacing w:val="-1"/>
        </w:rPr>
        <w:t>Silchester</w:t>
      </w:r>
      <w:proofErr w:type="spellEnd"/>
      <w:r>
        <w:rPr>
          <w:rFonts w:hint="eastAsia"/>
          <w:spacing w:val="-1"/>
        </w:rPr>
        <w:t>所控權股份合併計算作為基礎，</w:t>
      </w:r>
      <w:r>
        <w:rPr>
          <w:rFonts w:hint="eastAsia"/>
          <w:spacing w:val="-2"/>
        </w:rPr>
        <w:t>提交相關披露</w:t>
      </w:r>
      <w:r>
        <w:rPr>
          <w:rFonts w:hint="eastAsia"/>
          <w:spacing w:val="-1"/>
        </w:rPr>
        <w:t>。如下所述，</w:t>
      </w:r>
      <w:proofErr w:type="spellStart"/>
      <w:r>
        <w:rPr>
          <w:rFonts w:eastAsiaTheme="minorEastAsia"/>
          <w:spacing w:val="-1"/>
        </w:rPr>
        <w:t>Silchester</w:t>
      </w:r>
      <w:proofErr w:type="spellEnd"/>
      <w:r>
        <w:rPr>
          <w:rFonts w:hint="eastAsia"/>
          <w:spacing w:val="-1"/>
        </w:rPr>
        <w:t>與</w:t>
      </w:r>
      <w:proofErr w:type="spellStart"/>
      <w:r>
        <w:rPr>
          <w:rFonts w:eastAsiaTheme="minorEastAsia"/>
          <w:spacing w:val="-1"/>
        </w:rPr>
        <w:t>Edgbaston</w:t>
      </w:r>
      <w:proofErr w:type="spellEnd"/>
      <w:r>
        <w:rPr>
          <w:rFonts w:hint="eastAsia"/>
          <w:spacing w:val="-1"/>
        </w:rPr>
        <w:t>有若干聯繫，但</w:t>
      </w:r>
      <w:proofErr w:type="spellStart"/>
      <w:r>
        <w:rPr>
          <w:rFonts w:eastAsiaTheme="minorEastAsia"/>
          <w:spacing w:val="-1"/>
        </w:rPr>
        <w:t>Silchester</w:t>
      </w:r>
      <w:proofErr w:type="spellEnd"/>
      <w:r>
        <w:rPr>
          <w:rFonts w:hint="eastAsia"/>
          <w:spacing w:val="-1"/>
        </w:rPr>
        <w:t>並未牽涉於</w:t>
      </w:r>
      <w:proofErr w:type="spellStart"/>
      <w:r>
        <w:rPr>
          <w:rFonts w:eastAsiaTheme="minorEastAsia"/>
          <w:spacing w:val="-1"/>
        </w:rPr>
        <w:t>Edgbaston</w:t>
      </w:r>
      <w:proofErr w:type="spellEnd"/>
      <w:r>
        <w:rPr>
          <w:rFonts w:hint="eastAsia"/>
          <w:spacing w:val="-1"/>
        </w:rPr>
        <w:t>的投資管理運作。</w:t>
      </w:r>
    </w:p>
    <w:p w:rsidR="00A230C8" w:rsidRDefault="00A230C8" w:rsidP="00A230C8">
      <w:pPr>
        <w:kinsoku w:val="0"/>
        <w:overflowPunct w:val="0"/>
        <w:autoSpaceDE w:val="0"/>
        <w:autoSpaceDN w:val="0"/>
        <w:adjustRightInd w:val="0"/>
        <w:spacing w:before="32"/>
        <w:ind w:left="120" w:right="117"/>
        <w:jc w:val="both"/>
        <w:rPr>
          <w:spacing w:val="-1"/>
        </w:rPr>
      </w:pPr>
    </w:p>
    <w:p w:rsidR="00A230C8" w:rsidRDefault="00A230C8" w:rsidP="00A230C8">
      <w:pPr>
        <w:kinsoku w:val="0"/>
        <w:overflowPunct w:val="0"/>
        <w:autoSpaceDE w:val="0"/>
        <w:autoSpaceDN w:val="0"/>
        <w:adjustRightInd w:val="0"/>
        <w:spacing w:before="32"/>
        <w:ind w:left="120" w:right="117"/>
        <w:jc w:val="both"/>
        <w:rPr>
          <w:spacing w:val="-1"/>
        </w:rPr>
      </w:pPr>
      <w:r>
        <w:rPr>
          <w:rFonts w:hint="eastAsia"/>
          <w:spacing w:val="-1"/>
        </w:rPr>
        <w:t>於</w:t>
      </w:r>
      <w:r>
        <w:rPr>
          <w:spacing w:val="-1"/>
        </w:rPr>
        <w:t>2017</w:t>
      </w:r>
      <w:r>
        <w:rPr>
          <w:rFonts w:hint="eastAsia"/>
          <w:spacing w:val="-1"/>
        </w:rPr>
        <w:t>年</w:t>
      </w:r>
      <w:r>
        <w:rPr>
          <w:spacing w:val="-1"/>
        </w:rPr>
        <w:t>12</w:t>
      </w:r>
      <w:r>
        <w:rPr>
          <w:rFonts w:hint="eastAsia"/>
          <w:spacing w:val="-1"/>
        </w:rPr>
        <w:t>月</w:t>
      </w:r>
      <w:r>
        <w:rPr>
          <w:spacing w:val="-1"/>
        </w:rPr>
        <w:t>1</w:t>
      </w:r>
      <w:r>
        <w:rPr>
          <w:rFonts w:hint="eastAsia"/>
          <w:spacing w:val="-1"/>
        </w:rPr>
        <w:t>日當日業務結束時，</w:t>
      </w:r>
      <w:proofErr w:type="spellStart"/>
      <w:r>
        <w:rPr>
          <w:rFonts w:eastAsiaTheme="minorEastAsia"/>
          <w:spacing w:val="-1"/>
        </w:rPr>
        <w:t>Edgbaston</w:t>
      </w:r>
      <w:proofErr w:type="spellEnd"/>
      <w:r>
        <w:rPr>
          <w:rFonts w:hint="eastAsia"/>
          <w:spacing w:val="-1"/>
        </w:rPr>
        <w:t>能對無線電視</w:t>
      </w:r>
      <w:r>
        <w:rPr>
          <w:rFonts w:eastAsiaTheme="minorEastAsia"/>
          <w:spacing w:val="-1"/>
        </w:rPr>
        <w:t>8,437,100</w:t>
      </w:r>
      <w:r>
        <w:rPr>
          <w:rFonts w:hint="eastAsia"/>
          <w:spacing w:val="-1"/>
        </w:rPr>
        <w:t>股普通股行使控制，佔無線電視已發行股本</w:t>
      </w:r>
      <w:r>
        <w:rPr>
          <w:rFonts w:hint="eastAsia"/>
          <w:spacing w:val="14"/>
        </w:rPr>
        <w:t>約</w:t>
      </w:r>
      <w:r>
        <w:rPr>
          <w:rFonts w:eastAsiaTheme="minorEastAsia"/>
          <w:spacing w:val="-1"/>
        </w:rPr>
        <w:t>1.9%</w:t>
      </w:r>
      <w:r>
        <w:rPr>
          <w:rFonts w:hint="eastAsia"/>
          <w:spacing w:val="-1"/>
        </w:rPr>
        <w:t>，而</w:t>
      </w:r>
      <w:proofErr w:type="spellStart"/>
      <w:r>
        <w:rPr>
          <w:spacing w:val="-1"/>
        </w:rPr>
        <w:t>Silchester</w:t>
      </w:r>
      <w:proofErr w:type="spellEnd"/>
      <w:r>
        <w:rPr>
          <w:rFonts w:hint="eastAsia"/>
          <w:spacing w:val="-1"/>
        </w:rPr>
        <w:t>則能對無線電視</w:t>
      </w:r>
      <w:r>
        <w:rPr>
          <w:spacing w:val="-1"/>
        </w:rPr>
        <w:t>64,809,800</w:t>
      </w:r>
      <w:r>
        <w:rPr>
          <w:rFonts w:hint="eastAsia"/>
          <w:spacing w:val="-1"/>
        </w:rPr>
        <w:t>股普通股行使控制，佔無線電視已發行股本</w:t>
      </w:r>
      <w:r>
        <w:rPr>
          <w:rFonts w:hint="eastAsia"/>
          <w:spacing w:val="14"/>
        </w:rPr>
        <w:t>約</w:t>
      </w:r>
      <w:r>
        <w:rPr>
          <w:rFonts w:eastAsiaTheme="minorEastAsia"/>
          <w:spacing w:val="-1"/>
        </w:rPr>
        <w:t>1</w:t>
      </w:r>
      <w:r>
        <w:rPr>
          <w:spacing w:val="-1"/>
        </w:rPr>
        <w:t>4.8</w:t>
      </w:r>
      <w:r>
        <w:rPr>
          <w:rFonts w:eastAsiaTheme="minorEastAsia"/>
          <w:spacing w:val="-1"/>
        </w:rPr>
        <w:t>%</w:t>
      </w:r>
      <w:r>
        <w:rPr>
          <w:rFonts w:hint="eastAsia"/>
          <w:spacing w:val="-1"/>
        </w:rPr>
        <w:t>。於</w:t>
      </w:r>
      <w:r>
        <w:rPr>
          <w:spacing w:val="-1"/>
        </w:rPr>
        <w:t>2017</w:t>
      </w:r>
      <w:r>
        <w:rPr>
          <w:rFonts w:hint="eastAsia"/>
          <w:spacing w:val="-1"/>
        </w:rPr>
        <w:t>年</w:t>
      </w:r>
      <w:r>
        <w:rPr>
          <w:spacing w:val="-1"/>
        </w:rPr>
        <w:t>12</w:t>
      </w:r>
      <w:r>
        <w:rPr>
          <w:rFonts w:hint="eastAsia"/>
          <w:spacing w:val="-1"/>
        </w:rPr>
        <w:t>月</w:t>
      </w:r>
      <w:r>
        <w:rPr>
          <w:spacing w:val="-1"/>
        </w:rPr>
        <w:t>1</w:t>
      </w:r>
      <w:r>
        <w:rPr>
          <w:rFonts w:hint="eastAsia"/>
          <w:spacing w:val="-1"/>
        </w:rPr>
        <w:t>日，</w:t>
      </w:r>
      <w:proofErr w:type="spellStart"/>
      <w:r>
        <w:rPr>
          <w:spacing w:val="-1"/>
        </w:rPr>
        <w:t>Edgbaston</w:t>
      </w:r>
      <w:proofErr w:type="spellEnd"/>
      <w:r>
        <w:rPr>
          <w:rFonts w:hint="eastAsia"/>
          <w:spacing w:val="-1"/>
        </w:rPr>
        <w:t>及</w:t>
      </w:r>
      <w:proofErr w:type="spellStart"/>
      <w:r>
        <w:rPr>
          <w:spacing w:val="-1"/>
        </w:rPr>
        <w:t>Silchester</w:t>
      </w:r>
      <w:proofErr w:type="spellEnd"/>
      <w:r>
        <w:rPr>
          <w:rFonts w:hint="eastAsia"/>
          <w:spacing w:val="-1"/>
        </w:rPr>
        <w:t>分別持有的控股量合計達</w:t>
      </w:r>
      <w:r>
        <w:rPr>
          <w:spacing w:val="-1"/>
        </w:rPr>
        <w:t>73</w:t>
      </w:r>
      <w:proofErr w:type="gramStart"/>
      <w:r>
        <w:rPr>
          <w:spacing w:val="-1"/>
        </w:rPr>
        <w:t>,246,900</w:t>
      </w:r>
      <w:r>
        <w:rPr>
          <w:rFonts w:hint="eastAsia"/>
          <w:spacing w:val="-1"/>
        </w:rPr>
        <w:t>股無線電視普通股</w:t>
      </w:r>
      <w:proofErr w:type="gramEnd"/>
      <w:r>
        <w:rPr>
          <w:rFonts w:hint="eastAsia"/>
          <w:spacing w:val="-1"/>
        </w:rPr>
        <w:t>，佔無線電視已發行股本約</w:t>
      </w:r>
      <w:r>
        <w:rPr>
          <w:spacing w:val="-1"/>
        </w:rPr>
        <w:t>16.7%</w:t>
      </w:r>
      <w:r>
        <w:rPr>
          <w:rFonts w:hint="eastAsia"/>
          <w:spacing w:val="-1"/>
        </w:rPr>
        <w:t>。</w:t>
      </w:r>
    </w:p>
    <w:p w:rsidR="00A230C8" w:rsidRDefault="00A230C8" w:rsidP="00A230C8">
      <w:pPr>
        <w:kinsoku w:val="0"/>
        <w:overflowPunct w:val="0"/>
        <w:autoSpaceDE w:val="0"/>
        <w:autoSpaceDN w:val="0"/>
        <w:adjustRightInd w:val="0"/>
        <w:spacing w:before="32"/>
        <w:ind w:left="120" w:right="117"/>
        <w:jc w:val="both"/>
        <w:rPr>
          <w:spacing w:val="-1"/>
        </w:rPr>
      </w:pPr>
    </w:p>
    <w:p w:rsidR="00A230C8" w:rsidRDefault="00A230C8" w:rsidP="00A230C8">
      <w:pPr>
        <w:kinsoku w:val="0"/>
        <w:overflowPunct w:val="0"/>
        <w:autoSpaceDE w:val="0"/>
        <w:autoSpaceDN w:val="0"/>
        <w:adjustRightInd w:val="0"/>
        <w:spacing w:before="32"/>
        <w:ind w:left="120" w:right="117"/>
        <w:jc w:val="both"/>
        <w:rPr>
          <w:spacing w:val="-1"/>
        </w:rPr>
      </w:pPr>
      <w:r>
        <w:rPr>
          <w:rFonts w:hint="eastAsia"/>
          <w:spacing w:val="-1"/>
        </w:rPr>
        <w:t>然而，</w:t>
      </w:r>
      <w:proofErr w:type="spellStart"/>
      <w:r>
        <w:rPr>
          <w:spacing w:val="-1"/>
        </w:rPr>
        <w:t>Silchester</w:t>
      </w:r>
      <w:proofErr w:type="spellEnd"/>
      <w:r>
        <w:rPr>
          <w:rFonts w:hint="eastAsia"/>
          <w:spacing w:val="-1"/>
        </w:rPr>
        <w:t>希望確保投資者知悉，就</w:t>
      </w:r>
      <w:proofErr w:type="spellStart"/>
      <w:r>
        <w:rPr>
          <w:spacing w:val="-1"/>
        </w:rPr>
        <w:t>Edgbaston</w:t>
      </w:r>
      <w:proofErr w:type="spellEnd"/>
      <w:r>
        <w:rPr>
          <w:rFonts w:hint="eastAsia"/>
          <w:spacing w:val="-1"/>
        </w:rPr>
        <w:t>所控權股份而言，</w:t>
      </w:r>
      <w:proofErr w:type="spellStart"/>
      <w:r>
        <w:rPr>
          <w:spacing w:val="-1"/>
        </w:rPr>
        <w:t>Silchester</w:t>
      </w:r>
      <w:proofErr w:type="spellEnd"/>
      <w:r>
        <w:rPr>
          <w:rFonts w:hint="eastAsia"/>
          <w:spacing w:val="-1"/>
        </w:rPr>
        <w:t>未有任何表決控制權，且就《廣播條例》目的而言，通訊事務管理局（「</w:t>
      </w:r>
      <w:r>
        <w:rPr>
          <w:rFonts w:hint="eastAsia"/>
          <w:b/>
          <w:spacing w:val="-1"/>
        </w:rPr>
        <w:t>通訊局</w:t>
      </w:r>
      <w:r>
        <w:rPr>
          <w:rFonts w:hint="eastAsia"/>
          <w:spacing w:val="-1"/>
        </w:rPr>
        <w:t>」）亦未有將之與</w:t>
      </w:r>
      <w:proofErr w:type="spellStart"/>
      <w:r>
        <w:rPr>
          <w:spacing w:val="-1"/>
        </w:rPr>
        <w:t>Silchester</w:t>
      </w:r>
      <w:proofErr w:type="spellEnd"/>
      <w:r>
        <w:rPr>
          <w:rFonts w:hint="eastAsia"/>
          <w:spacing w:val="-1"/>
        </w:rPr>
        <w:t>所管理的無線電視股份合併計算。通訊局已認可</w:t>
      </w:r>
      <w:proofErr w:type="spellStart"/>
      <w:r>
        <w:rPr>
          <w:spacing w:val="-1"/>
        </w:rPr>
        <w:t>Silchester</w:t>
      </w:r>
      <w:proofErr w:type="spellEnd"/>
      <w:r>
        <w:rPr>
          <w:rFonts w:hint="eastAsia"/>
          <w:spacing w:val="-1"/>
        </w:rPr>
        <w:t>為無線電視高達</w:t>
      </w:r>
      <w:r>
        <w:rPr>
          <w:spacing w:val="-1"/>
        </w:rPr>
        <w:t>15%</w:t>
      </w:r>
      <w:r>
        <w:rPr>
          <w:rFonts w:hint="eastAsia"/>
          <w:spacing w:val="-1"/>
        </w:rPr>
        <w:t>合計表決控制權的表決控權人，而</w:t>
      </w:r>
      <w:proofErr w:type="spellStart"/>
      <w:r>
        <w:rPr>
          <w:spacing w:val="-1"/>
        </w:rPr>
        <w:t>Silchester</w:t>
      </w:r>
      <w:proofErr w:type="spellEnd"/>
      <w:r>
        <w:rPr>
          <w:rFonts w:hint="eastAsia"/>
          <w:spacing w:val="-1"/>
        </w:rPr>
        <w:t>亦符合該上限。</w:t>
      </w:r>
    </w:p>
    <w:p w:rsidR="00A230C8" w:rsidRDefault="00A230C8" w:rsidP="00A230C8">
      <w:pPr>
        <w:kinsoku w:val="0"/>
        <w:overflowPunct w:val="0"/>
        <w:autoSpaceDE w:val="0"/>
        <w:autoSpaceDN w:val="0"/>
        <w:adjustRightInd w:val="0"/>
        <w:spacing w:before="32"/>
        <w:ind w:left="120" w:right="117"/>
        <w:jc w:val="both"/>
        <w:rPr>
          <w:spacing w:val="-1"/>
        </w:rPr>
      </w:pPr>
    </w:p>
    <w:p w:rsidR="00A230C8" w:rsidRDefault="00A230C8" w:rsidP="00A230C8">
      <w:pPr>
        <w:kinsoku w:val="0"/>
        <w:overflowPunct w:val="0"/>
        <w:autoSpaceDE w:val="0"/>
        <w:autoSpaceDN w:val="0"/>
        <w:adjustRightInd w:val="0"/>
        <w:spacing w:before="32"/>
        <w:ind w:left="120" w:right="117"/>
        <w:jc w:val="both"/>
        <w:rPr>
          <w:rFonts w:eastAsiaTheme="minorEastAsia"/>
          <w:spacing w:val="-1"/>
        </w:rPr>
      </w:pPr>
      <w:proofErr w:type="spellStart"/>
      <w:r>
        <w:rPr>
          <w:spacing w:val="-1"/>
        </w:rPr>
        <w:t>Silchester</w:t>
      </w:r>
      <w:proofErr w:type="spellEnd"/>
      <w:r>
        <w:rPr>
          <w:rFonts w:hint="eastAsia"/>
          <w:spacing w:val="-1"/>
        </w:rPr>
        <w:t>已獲委任為五個集體投資計劃的投資經理。在此職分下，</w:t>
      </w:r>
      <w:proofErr w:type="spellStart"/>
      <w:r>
        <w:rPr>
          <w:spacing w:val="-1"/>
        </w:rPr>
        <w:t>Silchester</w:t>
      </w:r>
      <w:proofErr w:type="spellEnd"/>
      <w:r>
        <w:rPr>
          <w:rFonts w:hint="eastAsia"/>
          <w:spacing w:val="-1"/>
        </w:rPr>
        <w:t>對該等集體投資計劃所持有的投資擁有全權酌情決定權，並獲賦予代為表決的權力。各集體投資計劃下的單位持有人均不得對集體投資計劃所持有的任何股份行使任何控制。</w:t>
      </w:r>
      <w:proofErr w:type="spellStart"/>
      <w:r>
        <w:rPr>
          <w:rFonts w:eastAsiaTheme="minorEastAsia"/>
          <w:spacing w:val="-1"/>
        </w:rPr>
        <w:t>Silchester</w:t>
      </w:r>
      <w:proofErr w:type="spellEnd"/>
      <w:r>
        <w:rPr>
          <w:rFonts w:hint="eastAsia"/>
          <w:spacing w:val="-1"/>
        </w:rPr>
        <w:t>為英國一家有限責任合伙，包括</w:t>
      </w:r>
      <w:r>
        <w:rPr>
          <w:spacing w:val="-1"/>
        </w:rPr>
        <w:t>18</w:t>
      </w:r>
      <w:r>
        <w:rPr>
          <w:rFonts w:hint="eastAsia"/>
          <w:spacing w:val="-1"/>
        </w:rPr>
        <w:t>名法定個人成員（亦稱為「</w:t>
      </w:r>
      <w:r>
        <w:rPr>
          <w:rFonts w:hint="eastAsia"/>
          <w:b/>
          <w:spacing w:val="-1"/>
        </w:rPr>
        <w:t>經營合伙人</w:t>
      </w:r>
      <w:r>
        <w:rPr>
          <w:rFonts w:hint="eastAsia"/>
          <w:spacing w:val="-1"/>
        </w:rPr>
        <w:t>」），並包括一個法定法團成員，即</w:t>
      </w:r>
      <w:proofErr w:type="spellStart"/>
      <w:r>
        <w:rPr>
          <w:rFonts w:eastAsiaTheme="minorEastAsia"/>
          <w:spacing w:val="-1"/>
        </w:rPr>
        <w:t>Silchester</w:t>
      </w:r>
      <w:proofErr w:type="spellEnd"/>
      <w:r>
        <w:rPr>
          <w:rFonts w:eastAsiaTheme="minorEastAsia"/>
          <w:spacing w:val="-1"/>
        </w:rPr>
        <w:t xml:space="preserve"> Capital Limited</w:t>
      </w:r>
      <w:r>
        <w:rPr>
          <w:rFonts w:hint="eastAsia"/>
          <w:spacing w:val="-1"/>
        </w:rPr>
        <w:t>（「</w:t>
      </w:r>
      <w:r>
        <w:rPr>
          <w:b/>
          <w:spacing w:val="-1"/>
        </w:rPr>
        <w:t>SCL</w:t>
      </w:r>
      <w:r>
        <w:rPr>
          <w:rFonts w:hint="eastAsia"/>
          <w:spacing w:val="-1"/>
        </w:rPr>
        <w:t>」）。</w:t>
      </w:r>
      <w:r>
        <w:rPr>
          <w:spacing w:val="-1"/>
        </w:rPr>
        <w:t>SCL</w:t>
      </w:r>
      <w:r>
        <w:rPr>
          <w:rFonts w:hint="eastAsia"/>
          <w:spacing w:val="-1"/>
        </w:rPr>
        <w:t>已供應</w:t>
      </w:r>
      <w:proofErr w:type="spellStart"/>
      <w:r>
        <w:rPr>
          <w:rFonts w:eastAsiaTheme="minorEastAsia"/>
          <w:spacing w:val="-1"/>
        </w:rPr>
        <w:t>Silchester</w:t>
      </w:r>
      <w:proofErr w:type="spellEnd"/>
      <w:r>
        <w:rPr>
          <w:rFonts w:hint="eastAsia"/>
          <w:spacing w:val="-1"/>
        </w:rPr>
        <w:t>的</w:t>
      </w:r>
      <w:r>
        <w:rPr>
          <w:spacing w:val="-1"/>
        </w:rPr>
        <w:t>100%</w:t>
      </w:r>
      <w:r>
        <w:rPr>
          <w:rFonts w:hint="eastAsia"/>
          <w:spacing w:val="-1"/>
        </w:rPr>
        <w:t>監管資本，並持有其逾</w:t>
      </w:r>
      <w:r>
        <w:rPr>
          <w:spacing w:val="-1"/>
        </w:rPr>
        <w:t>90%</w:t>
      </w:r>
      <w:r>
        <w:rPr>
          <w:rFonts w:hint="eastAsia"/>
          <w:spacing w:val="-1"/>
        </w:rPr>
        <w:t>合計資本，而</w:t>
      </w:r>
      <w:r>
        <w:rPr>
          <w:spacing w:val="-1"/>
        </w:rPr>
        <w:t>SCL</w:t>
      </w:r>
      <w:r>
        <w:rPr>
          <w:rFonts w:hint="eastAsia"/>
          <w:spacing w:val="-1"/>
        </w:rPr>
        <w:t>則由</w:t>
      </w:r>
      <w:proofErr w:type="spellStart"/>
      <w:r>
        <w:rPr>
          <w:rFonts w:eastAsiaTheme="minorEastAsia"/>
          <w:spacing w:val="-1"/>
        </w:rPr>
        <w:t>Silchester</w:t>
      </w:r>
      <w:proofErr w:type="spellEnd"/>
      <w:r>
        <w:rPr>
          <w:rFonts w:eastAsiaTheme="minorEastAsia"/>
          <w:spacing w:val="-1"/>
        </w:rPr>
        <w:t xml:space="preserve"> Partners Limited</w:t>
      </w:r>
      <w:r>
        <w:rPr>
          <w:rFonts w:hint="eastAsia"/>
          <w:spacing w:val="-1"/>
        </w:rPr>
        <w:t>（「</w:t>
      </w:r>
      <w:r>
        <w:rPr>
          <w:rFonts w:eastAsiaTheme="minorEastAsia"/>
          <w:b/>
          <w:bCs/>
          <w:spacing w:val="-1"/>
        </w:rPr>
        <w:t>SP Ltd</w:t>
      </w:r>
      <w:r>
        <w:rPr>
          <w:rFonts w:hint="eastAsia"/>
          <w:spacing w:val="-1"/>
        </w:rPr>
        <w:t>」）擁有逾</w:t>
      </w:r>
      <w:r>
        <w:rPr>
          <w:spacing w:val="-1"/>
        </w:rPr>
        <w:t>90%</w:t>
      </w:r>
      <w:r>
        <w:rPr>
          <w:rFonts w:hint="eastAsia"/>
          <w:spacing w:val="-1"/>
        </w:rPr>
        <w:t>。於</w:t>
      </w:r>
      <w:r>
        <w:rPr>
          <w:spacing w:val="-1"/>
        </w:rPr>
        <w:t>2017</w:t>
      </w:r>
      <w:r>
        <w:rPr>
          <w:rFonts w:hint="eastAsia"/>
          <w:spacing w:val="-1"/>
        </w:rPr>
        <w:t>年</w:t>
      </w:r>
      <w:r>
        <w:rPr>
          <w:spacing w:val="-1"/>
        </w:rPr>
        <w:t>12</w:t>
      </w:r>
      <w:r>
        <w:rPr>
          <w:rFonts w:hint="eastAsia"/>
          <w:spacing w:val="-1"/>
        </w:rPr>
        <w:t>月</w:t>
      </w:r>
      <w:r>
        <w:rPr>
          <w:spacing w:val="-1"/>
        </w:rPr>
        <w:t>1</w:t>
      </w:r>
      <w:r>
        <w:rPr>
          <w:rFonts w:hint="eastAsia"/>
          <w:spacing w:val="-1"/>
        </w:rPr>
        <w:t>日，</w:t>
      </w:r>
      <w:r>
        <w:rPr>
          <w:rFonts w:eastAsiaTheme="minorEastAsia"/>
          <w:spacing w:val="-1"/>
        </w:rPr>
        <w:t>Stephen C. Butt</w:t>
      </w:r>
      <w:r>
        <w:rPr>
          <w:rFonts w:hint="eastAsia"/>
          <w:spacing w:val="-1"/>
        </w:rPr>
        <w:t>及其家族控制</w:t>
      </w:r>
      <w:r>
        <w:rPr>
          <w:rFonts w:eastAsiaTheme="minorEastAsia"/>
          <w:spacing w:val="-1"/>
        </w:rPr>
        <w:t>SP Ltd</w:t>
      </w:r>
      <w:r>
        <w:rPr>
          <w:rFonts w:hint="eastAsia"/>
          <w:spacing w:val="-1"/>
        </w:rPr>
        <w:t>約</w:t>
      </w:r>
      <w:r>
        <w:rPr>
          <w:rFonts w:eastAsiaTheme="minorEastAsia"/>
          <w:spacing w:val="-1"/>
        </w:rPr>
        <w:t>52%</w:t>
      </w:r>
      <w:r>
        <w:rPr>
          <w:rFonts w:hint="eastAsia"/>
          <w:spacing w:val="-1"/>
        </w:rPr>
        <w:t>已發行股本。</w:t>
      </w:r>
    </w:p>
    <w:p w:rsidR="00A230C8" w:rsidRDefault="00A230C8" w:rsidP="00A230C8">
      <w:pPr>
        <w:kinsoku w:val="0"/>
        <w:overflowPunct w:val="0"/>
        <w:autoSpaceDE w:val="0"/>
        <w:autoSpaceDN w:val="0"/>
        <w:adjustRightInd w:val="0"/>
        <w:ind w:left="119" w:right="111"/>
        <w:jc w:val="both"/>
        <w:rPr>
          <w:rFonts w:eastAsiaTheme="minorEastAsia"/>
          <w:spacing w:val="-1"/>
        </w:rPr>
      </w:pPr>
    </w:p>
    <w:p w:rsidR="00A230C8" w:rsidRDefault="00A230C8" w:rsidP="00A230C8">
      <w:pPr>
        <w:kinsoku w:val="0"/>
        <w:overflowPunct w:val="0"/>
        <w:autoSpaceDE w:val="0"/>
        <w:autoSpaceDN w:val="0"/>
        <w:adjustRightInd w:val="0"/>
        <w:ind w:left="119" w:right="111"/>
        <w:jc w:val="both"/>
        <w:rPr>
          <w:rFonts w:eastAsiaTheme="minorEastAsia"/>
          <w:spacing w:val="-1"/>
        </w:rPr>
      </w:pPr>
      <w:r>
        <w:rPr>
          <w:rFonts w:hint="eastAsia"/>
          <w:spacing w:val="-1"/>
        </w:rPr>
        <w:t>由於</w:t>
      </w:r>
      <w:r>
        <w:rPr>
          <w:spacing w:val="-1"/>
        </w:rPr>
        <w:t>SP Ltd</w:t>
      </w:r>
      <w:r>
        <w:rPr>
          <w:rFonts w:hint="eastAsia"/>
          <w:spacing w:val="-1"/>
        </w:rPr>
        <w:t>擁有</w:t>
      </w:r>
      <w:proofErr w:type="spellStart"/>
      <w:r>
        <w:rPr>
          <w:rFonts w:eastAsiaTheme="minorEastAsia"/>
          <w:spacing w:val="-1"/>
        </w:rPr>
        <w:t>Edgbaston</w:t>
      </w:r>
      <w:proofErr w:type="spellEnd"/>
      <w:r>
        <w:rPr>
          <w:rFonts w:hint="eastAsia"/>
          <w:spacing w:val="-1"/>
        </w:rPr>
        <w:t>及</w:t>
      </w:r>
      <w:proofErr w:type="spellStart"/>
      <w:r>
        <w:rPr>
          <w:spacing w:val="-1"/>
        </w:rPr>
        <w:t>Silchester</w:t>
      </w:r>
      <w:proofErr w:type="spellEnd"/>
      <w:r>
        <w:rPr>
          <w:rFonts w:hint="eastAsia"/>
          <w:spacing w:val="-1"/>
        </w:rPr>
        <w:t>的間接經濟權益，且由於兩者共同擁有一位如下所述的管理參與者，故此</w:t>
      </w:r>
      <w:proofErr w:type="spellStart"/>
      <w:r>
        <w:rPr>
          <w:rFonts w:eastAsiaTheme="minorEastAsia"/>
          <w:spacing w:val="-1"/>
        </w:rPr>
        <w:t>Silchester</w:t>
      </w:r>
      <w:proofErr w:type="spellEnd"/>
      <w:r>
        <w:rPr>
          <w:rFonts w:hint="eastAsia"/>
          <w:spacing w:val="-1"/>
        </w:rPr>
        <w:t>與</w:t>
      </w:r>
      <w:proofErr w:type="spellStart"/>
      <w:r>
        <w:rPr>
          <w:rFonts w:eastAsiaTheme="minorEastAsia"/>
          <w:spacing w:val="-1"/>
        </w:rPr>
        <w:t>Edgbaston</w:t>
      </w:r>
      <w:proofErr w:type="spellEnd"/>
      <w:r>
        <w:rPr>
          <w:rFonts w:hint="eastAsia"/>
          <w:spacing w:val="-1"/>
        </w:rPr>
        <w:t>有間接關連。然而，</w:t>
      </w:r>
      <w:proofErr w:type="spellStart"/>
      <w:r>
        <w:rPr>
          <w:rFonts w:eastAsiaTheme="minorEastAsia"/>
          <w:spacing w:val="-1"/>
        </w:rPr>
        <w:t>Silchester</w:t>
      </w:r>
      <w:proofErr w:type="spellEnd"/>
      <w:r>
        <w:rPr>
          <w:rFonts w:hint="eastAsia"/>
          <w:spacing w:val="-1"/>
        </w:rPr>
        <w:t>、</w:t>
      </w:r>
      <w:r>
        <w:rPr>
          <w:rFonts w:eastAsiaTheme="minorEastAsia"/>
          <w:spacing w:val="-1"/>
        </w:rPr>
        <w:t>SCL</w:t>
      </w:r>
      <w:r>
        <w:rPr>
          <w:rFonts w:hint="eastAsia"/>
          <w:spacing w:val="-1"/>
        </w:rPr>
        <w:t>及</w:t>
      </w:r>
      <w:r>
        <w:rPr>
          <w:rFonts w:eastAsiaTheme="minorEastAsia"/>
          <w:spacing w:val="-1"/>
        </w:rPr>
        <w:t>SP Ltd</w:t>
      </w:r>
      <w:r>
        <w:rPr>
          <w:rFonts w:hint="eastAsia"/>
          <w:spacing w:val="-1"/>
        </w:rPr>
        <w:t>均並未牽涉於</w:t>
      </w:r>
      <w:proofErr w:type="spellStart"/>
      <w:r>
        <w:rPr>
          <w:rFonts w:eastAsiaTheme="minorEastAsia"/>
          <w:spacing w:val="-1"/>
        </w:rPr>
        <w:t>Edgbaston</w:t>
      </w:r>
      <w:proofErr w:type="spellEnd"/>
      <w:r>
        <w:rPr>
          <w:rFonts w:hint="eastAsia"/>
          <w:spacing w:val="-1"/>
        </w:rPr>
        <w:t>日常投資管理運作，且亦未能對</w:t>
      </w:r>
      <w:proofErr w:type="spellStart"/>
      <w:r>
        <w:rPr>
          <w:rFonts w:eastAsiaTheme="minorEastAsia"/>
          <w:spacing w:val="-1"/>
        </w:rPr>
        <w:t>Edgbaston</w:t>
      </w:r>
      <w:proofErr w:type="spellEnd"/>
      <w:r>
        <w:rPr>
          <w:rFonts w:hint="eastAsia"/>
          <w:spacing w:val="-1"/>
        </w:rPr>
        <w:t>所控制的無線電視股份行使任何代表表決權。</w:t>
      </w:r>
    </w:p>
    <w:p w:rsidR="00A230C8" w:rsidRDefault="00A230C8" w:rsidP="00A230C8">
      <w:pPr>
        <w:kinsoku w:val="0"/>
        <w:overflowPunct w:val="0"/>
        <w:autoSpaceDE w:val="0"/>
        <w:autoSpaceDN w:val="0"/>
        <w:adjustRightInd w:val="0"/>
        <w:ind w:left="119" w:right="111"/>
        <w:jc w:val="both"/>
        <w:rPr>
          <w:rFonts w:eastAsiaTheme="minorEastAsia"/>
          <w:spacing w:val="-1"/>
        </w:rPr>
      </w:pPr>
    </w:p>
    <w:p w:rsidR="00A230C8" w:rsidRDefault="00A230C8" w:rsidP="00A230C8">
      <w:pPr>
        <w:kinsoku w:val="0"/>
        <w:overflowPunct w:val="0"/>
        <w:autoSpaceDE w:val="0"/>
        <w:autoSpaceDN w:val="0"/>
        <w:adjustRightInd w:val="0"/>
        <w:ind w:left="119" w:right="111"/>
        <w:jc w:val="both"/>
        <w:rPr>
          <w:rFonts w:eastAsiaTheme="minorEastAsia"/>
          <w:spacing w:val="-1"/>
        </w:rPr>
      </w:pPr>
      <w:proofErr w:type="spellStart"/>
      <w:r>
        <w:rPr>
          <w:rFonts w:eastAsiaTheme="minorEastAsia"/>
          <w:spacing w:val="-1"/>
        </w:rPr>
        <w:lastRenderedPageBreak/>
        <w:t>Edgbaston</w:t>
      </w:r>
      <w:proofErr w:type="spellEnd"/>
      <w:r>
        <w:rPr>
          <w:rFonts w:hint="eastAsia"/>
          <w:spacing w:val="-1"/>
        </w:rPr>
        <w:t>為英國一家投資管理事務所，已獲委任為兩個集體投資計劃的投資經理。在此職分下，</w:t>
      </w:r>
      <w:proofErr w:type="spellStart"/>
      <w:r>
        <w:rPr>
          <w:rFonts w:eastAsiaTheme="minorEastAsia"/>
          <w:spacing w:val="-1"/>
        </w:rPr>
        <w:t>Edgbaston</w:t>
      </w:r>
      <w:proofErr w:type="spellEnd"/>
      <w:r>
        <w:rPr>
          <w:rFonts w:hint="eastAsia"/>
          <w:spacing w:val="-1"/>
        </w:rPr>
        <w:t>對此等集體投資計劃所持有的投資擁有全權酌情決定權，並獲賦予代為表決的權力。各集體投資計劃下的單位持有人均不得對集體投資計劃所持有的任何股份行使任何控制。</w:t>
      </w:r>
      <w:proofErr w:type="spellStart"/>
      <w:r>
        <w:rPr>
          <w:rFonts w:eastAsiaTheme="minorEastAsia"/>
          <w:spacing w:val="-1"/>
        </w:rPr>
        <w:t>Edgbaston</w:t>
      </w:r>
      <w:proofErr w:type="spellEnd"/>
      <w:r>
        <w:rPr>
          <w:rFonts w:hint="eastAsia"/>
          <w:spacing w:val="-1"/>
        </w:rPr>
        <w:t>為英國一家有限責任合伙，包括</w:t>
      </w:r>
      <w:r>
        <w:rPr>
          <w:spacing w:val="-1"/>
        </w:rPr>
        <w:t>3</w:t>
      </w:r>
      <w:r>
        <w:rPr>
          <w:rFonts w:hint="eastAsia"/>
          <w:spacing w:val="-1"/>
        </w:rPr>
        <w:t>名經營合伙人成員，並包括一個法團成員，即</w:t>
      </w:r>
      <w:proofErr w:type="spellStart"/>
      <w:r>
        <w:rPr>
          <w:rFonts w:eastAsiaTheme="minorEastAsia"/>
          <w:spacing w:val="-1"/>
        </w:rPr>
        <w:t>Edgbaston</w:t>
      </w:r>
      <w:proofErr w:type="spellEnd"/>
      <w:r>
        <w:rPr>
          <w:rFonts w:eastAsiaTheme="minorEastAsia"/>
          <w:spacing w:val="-1"/>
        </w:rPr>
        <w:t xml:space="preserve"> Partners Limited</w:t>
      </w:r>
      <w:r>
        <w:rPr>
          <w:rFonts w:hint="eastAsia"/>
          <w:spacing w:val="-1"/>
        </w:rPr>
        <w:t>（「</w:t>
      </w:r>
      <w:r>
        <w:rPr>
          <w:b/>
          <w:spacing w:val="-1"/>
        </w:rPr>
        <w:t>EPL</w:t>
      </w:r>
      <w:r>
        <w:rPr>
          <w:rFonts w:hint="eastAsia"/>
          <w:spacing w:val="-1"/>
        </w:rPr>
        <w:t>」）。</w:t>
      </w:r>
      <w:r>
        <w:rPr>
          <w:spacing w:val="-1"/>
        </w:rPr>
        <w:t>EPL</w:t>
      </w:r>
      <w:r>
        <w:rPr>
          <w:rFonts w:hint="eastAsia"/>
          <w:spacing w:val="-1"/>
        </w:rPr>
        <w:t>已供應</w:t>
      </w:r>
      <w:proofErr w:type="spellStart"/>
      <w:r>
        <w:rPr>
          <w:rFonts w:eastAsiaTheme="minorEastAsia"/>
          <w:spacing w:val="-1"/>
        </w:rPr>
        <w:t>Edgbaston</w:t>
      </w:r>
      <w:proofErr w:type="spellEnd"/>
      <w:r>
        <w:rPr>
          <w:rFonts w:hint="eastAsia"/>
          <w:spacing w:val="-1"/>
        </w:rPr>
        <w:t>的</w:t>
      </w:r>
      <w:r>
        <w:rPr>
          <w:spacing w:val="-1"/>
        </w:rPr>
        <w:t>100%</w:t>
      </w:r>
      <w:r>
        <w:rPr>
          <w:rFonts w:hint="eastAsia"/>
          <w:spacing w:val="-1"/>
        </w:rPr>
        <w:t>監管資本，並持有其逾</w:t>
      </w:r>
      <w:r>
        <w:rPr>
          <w:spacing w:val="-1"/>
        </w:rPr>
        <w:t>90%</w:t>
      </w:r>
      <w:r>
        <w:rPr>
          <w:rFonts w:hint="eastAsia"/>
          <w:spacing w:val="-1"/>
        </w:rPr>
        <w:t>合計資本。</w:t>
      </w:r>
    </w:p>
    <w:p w:rsidR="00A230C8" w:rsidRDefault="00A230C8" w:rsidP="00A230C8">
      <w:pPr>
        <w:kinsoku w:val="0"/>
        <w:overflowPunct w:val="0"/>
        <w:autoSpaceDE w:val="0"/>
        <w:autoSpaceDN w:val="0"/>
        <w:adjustRightInd w:val="0"/>
        <w:ind w:left="119" w:right="111"/>
        <w:jc w:val="both"/>
        <w:rPr>
          <w:rFonts w:eastAsiaTheme="minorEastAsia"/>
          <w:spacing w:val="-1"/>
        </w:rPr>
      </w:pPr>
    </w:p>
    <w:p w:rsidR="00A230C8" w:rsidRDefault="00A230C8" w:rsidP="00A230C8">
      <w:pPr>
        <w:kinsoku w:val="0"/>
        <w:overflowPunct w:val="0"/>
        <w:autoSpaceDE w:val="0"/>
        <w:autoSpaceDN w:val="0"/>
        <w:adjustRightInd w:val="0"/>
        <w:ind w:left="119" w:right="111"/>
        <w:jc w:val="both"/>
        <w:rPr>
          <w:rFonts w:eastAsiaTheme="minorEastAsia"/>
          <w:spacing w:val="-1"/>
          <w:lang w:eastAsia="zh-CN"/>
        </w:rPr>
      </w:pPr>
      <w:r>
        <w:rPr>
          <w:rFonts w:hint="eastAsia"/>
          <w:spacing w:val="-1"/>
        </w:rPr>
        <w:t>至於</w:t>
      </w:r>
      <w:r>
        <w:rPr>
          <w:spacing w:val="-1"/>
        </w:rPr>
        <w:t>EPL</w:t>
      </w:r>
      <w:r>
        <w:rPr>
          <w:rFonts w:hint="eastAsia"/>
          <w:spacing w:val="-1"/>
        </w:rPr>
        <w:t>的擁有權，</w:t>
      </w:r>
      <w:proofErr w:type="spellStart"/>
      <w:r>
        <w:rPr>
          <w:rFonts w:eastAsiaTheme="minorEastAsia"/>
          <w:spacing w:val="-1"/>
        </w:rPr>
        <w:t>Edgbaston</w:t>
      </w:r>
      <w:proofErr w:type="spellEnd"/>
      <w:r>
        <w:rPr>
          <w:rFonts w:hint="eastAsia"/>
          <w:spacing w:val="-1"/>
        </w:rPr>
        <w:t>的僱員及其經營合伙人擁有</w:t>
      </w:r>
      <w:r>
        <w:rPr>
          <w:spacing w:val="-1"/>
        </w:rPr>
        <w:t>EPL</w:t>
      </w:r>
      <w:r>
        <w:rPr>
          <w:rFonts w:hint="eastAsia"/>
          <w:spacing w:val="-1"/>
        </w:rPr>
        <w:t>的</w:t>
      </w:r>
      <w:r>
        <w:rPr>
          <w:spacing w:val="-1"/>
        </w:rPr>
        <w:t>100% B</w:t>
      </w:r>
      <w:r>
        <w:rPr>
          <w:rFonts w:hint="eastAsia"/>
          <w:spacing w:val="-1"/>
        </w:rPr>
        <w:t>類股，佔</w:t>
      </w:r>
      <w:r>
        <w:rPr>
          <w:spacing w:val="-1"/>
        </w:rPr>
        <w:t>EPL</w:t>
      </w:r>
      <w:r>
        <w:rPr>
          <w:rFonts w:hint="eastAsia"/>
          <w:spacing w:val="-1"/>
        </w:rPr>
        <w:t>已發行股本的</w:t>
      </w:r>
      <w:r>
        <w:rPr>
          <w:rFonts w:eastAsiaTheme="minorEastAsia"/>
          <w:spacing w:val="-1"/>
        </w:rPr>
        <w:t>50.1%</w:t>
      </w:r>
      <w:r>
        <w:rPr>
          <w:rFonts w:hint="eastAsia"/>
          <w:spacing w:val="-1"/>
        </w:rPr>
        <w:t>。</w:t>
      </w:r>
      <w:r>
        <w:rPr>
          <w:rFonts w:eastAsiaTheme="minorEastAsia"/>
          <w:spacing w:val="-1"/>
        </w:rPr>
        <w:t>SP Ltd</w:t>
      </w:r>
      <w:r>
        <w:rPr>
          <w:rFonts w:hint="eastAsia"/>
          <w:spacing w:val="-1"/>
        </w:rPr>
        <w:t>擁有</w:t>
      </w:r>
      <w:r>
        <w:rPr>
          <w:spacing w:val="-1"/>
        </w:rPr>
        <w:t>EPL</w:t>
      </w:r>
      <w:r>
        <w:rPr>
          <w:rFonts w:hint="eastAsia"/>
          <w:spacing w:val="-1"/>
        </w:rPr>
        <w:t>的</w:t>
      </w:r>
      <w:r>
        <w:rPr>
          <w:rFonts w:eastAsiaTheme="minorEastAsia"/>
          <w:spacing w:val="-1"/>
        </w:rPr>
        <w:t xml:space="preserve">100% </w:t>
      </w:r>
      <w:r>
        <w:rPr>
          <w:spacing w:val="-1"/>
        </w:rPr>
        <w:t>A</w:t>
      </w:r>
      <w:r>
        <w:rPr>
          <w:rFonts w:hint="eastAsia"/>
          <w:spacing w:val="-1"/>
        </w:rPr>
        <w:t>類股，佔</w:t>
      </w:r>
      <w:r>
        <w:rPr>
          <w:spacing w:val="-1"/>
        </w:rPr>
        <w:t>EPL</w:t>
      </w:r>
      <w:r>
        <w:rPr>
          <w:rFonts w:hint="eastAsia"/>
          <w:spacing w:val="-1"/>
        </w:rPr>
        <w:t>已發行股本的</w:t>
      </w:r>
      <w:r>
        <w:rPr>
          <w:rFonts w:eastAsiaTheme="minorEastAsia"/>
          <w:spacing w:val="-1"/>
        </w:rPr>
        <w:t>49.9%</w:t>
      </w:r>
      <w:r>
        <w:rPr>
          <w:rFonts w:hint="eastAsia"/>
          <w:spacing w:val="-1"/>
        </w:rPr>
        <w:t>。除可能對少數股東權利造成重大影響的限制事項外，</w:t>
      </w:r>
      <w:r>
        <w:rPr>
          <w:spacing w:val="-1"/>
        </w:rPr>
        <w:t>SP Ltd</w:t>
      </w:r>
      <w:r>
        <w:rPr>
          <w:rFonts w:hint="eastAsia"/>
          <w:spacing w:val="-1"/>
        </w:rPr>
        <w:t>已同意在任何</w:t>
      </w:r>
      <w:r>
        <w:rPr>
          <w:spacing w:val="-1"/>
        </w:rPr>
        <w:t>EPL</w:t>
      </w:r>
      <w:r>
        <w:rPr>
          <w:rFonts w:hint="eastAsia"/>
          <w:spacing w:val="-1"/>
        </w:rPr>
        <w:t>全體股東大會上，以該股東大會上可供行使的</w:t>
      </w:r>
      <w:r>
        <w:rPr>
          <w:spacing w:val="-1"/>
        </w:rPr>
        <w:t>9.9%</w:t>
      </w:r>
      <w:r>
        <w:rPr>
          <w:rFonts w:hint="eastAsia"/>
          <w:spacing w:val="-1"/>
        </w:rPr>
        <w:t>表決權，作為其對於任何所提議案的表決權的上限。此外，每類股份所提供的權利之間亦有重大分別。</w:t>
      </w:r>
      <w:r>
        <w:rPr>
          <w:spacing w:val="-1"/>
        </w:rPr>
        <w:t>B</w:t>
      </w:r>
      <w:r>
        <w:rPr>
          <w:rFonts w:hint="eastAsia"/>
          <w:spacing w:val="-1"/>
        </w:rPr>
        <w:t>類股東有下列永久權利：</w:t>
      </w:r>
    </w:p>
    <w:p w:rsidR="00A230C8" w:rsidRDefault="00A230C8" w:rsidP="00A230C8">
      <w:pPr>
        <w:kinsoku w:val="0"/>
        <w:overflowPunct w:val="0"/>
        <w:autoSpaceDE w:val="0"/>
        <w:autoSpaceDN w:val="0"/>
        <w:adjustRightInd w:val="0"/>
        <w:ind w:left="119" w:right="111"/>
        <w:jc w:val="both"/>
        <w:rPr>
          <w:rFonts w:eastAsiaTheme="minorEastAsia"/>
          <w:spacing w:val="-1"/>
          <w:lang w:eastAsia="zh-CN"/>
        </w:rPr>
      </w:pPr>
    </w:p>
    <w:p w:rsidR="00A230C8" w:rsidRDefault="00A230C8" w:rsidP="00A230C8">
      <w:pPr>
        <w:pStyle w:val="ListParagraph"/>
        <w:widowControl/>
        <w:numPr>
          <w:ilvl w:val="0"/>
          <w:numId w:val="2"/>
        </w:numPr>
        <w:kinsoku w:val="0"/>
        <w:overflowPunct w:val="0"/>
        <w:autoSpaceDE w:val="0"/>
        <w:autoSpaceDN w:val="0"/>
        <w:adjustRightInd w:val="0"/>
        <w:ind w:right="111"/>
        <w:jc w:val="both"/>
        <w:rPr>
          <w:rFonts w:eastAsiaTheme="minorEastAsia"/>
          <w:spacing w:val="-1"/>
        </w:rPr>
      </w:pPr>
      <w:r>
        <w:rPr>
          <w:rFonts w:hint="eastAsia"/>
          <w:spacing w:val="-1"/>
        </w:rPr>
        <w:t>提名及辭退</w:t>
      </w:r>
      <w:r>
        <w:rPr>
          <w:rFonts w:eastAsiaTheme="minorEastAsia"/>
          <w:spacing w:val="-1"/>
        </w:rPr>
        <w:t>EPL</w:t>
      </w:r>
      <w:r>
        <w:rPr>
          <w:rFonts w:hint="eastAsia"/>
          <w:spacing w:val="-1"/>
        </w:rPr>
        <w:t>大部份董事，及委任</w:t>
      </w:r>
      <w:r>
        <w:rPr>
          <w:rFonts w:eastAsiaTheme="minorEastAsia"/>
          <w:spacing w:val="-1"/>
        </w:rPr>
        <w:t>EPL</w:t>
      </w:r>
      <w:r>
        <w:rPr>
          <w:rFonts w:hint="eastAsia"/>
          <w:spacing w:val="-1"/>
        </w:rPr>
        <w:t>主席；以及</w:t>
      </w:r>
    </w:p>
    <w:p w:rsidR="00A230C8" w:rsidRDefault="00A230C8" w:rsidP="00A230C8">
      <w:pPr>
        <w:pStyle w:val="ListParagraph"/>
        <w:widowControl/>
        <w:numPr>
          <w:ilvl w:val="0"/>
          <w:numId w:val="2"/>
        </w:numPr>
        <w:kinsoku w:val="0"/>
        <w:overflowPunct w:val="0"/>
        <w:autoSpaceDE w:val="0"/>
        <w:autoSpaceDN w:val="0"/>
        <w:adjustRightInd w:val="0"/>
        <w:ind w:right="111"/>
        <w:jc w:val="both"/>
        <w:rPr>
          <w:rFonts w:eastAsiaTheme="minorEastAsia"/>
          <w:spacing w:val="-1"/>
        </w:rPr>
      </w:pPr>
      <w:r>
        <w:rPr>
          <w:rFonts w:hint="eastAsia"/>
          <w:spacing w:val="-1"/>
        </w:rPr>
        <w:t>對</w:t>
      </w:r>
      <w:r>
        <w:rPr>
          <w:spacing w:val="-1"/>
        </w:rPr>
        <w:t>EPL</w:t>
      </w:r>
      <w:r>
        <w:rPr>
          <w:rFonts w:hint="eastAsia"/>
          <w:spacing w:val="-1"/>
        </w:rPr>
        <w:t>業務施行日常管理及行使控制，包括對</w:t>
      </w:r>
      <w:proofErr w:type="spellStart"/>
      <w:r>
        <w:rPr>
          <w:rFonts w:eastAsiaTheme="minorEastAsia"/>
          <w:spacing w:val="-1"/>
        </w:rPr>
        <w:t>Edgbaston</w:t>
      </w:r>
      <w:proofErr w:type="spellEnd"/>
      <w:r>
        <w:rPr>
          <w:rFonts w:hint="eastAsia"/>
          <w:spacing w:val="-1"/>
        </w:rPr>
        <w:t>日常投資管理業務及運作的相關事宜行使控制。</w:t>
      </w:r>
    </w:p>
    <w:p w:rsidR="00A230C8" w:rsidRDefault="00A230C8" w:rsidP="00A230C8">
      <w:pPr>
        <w:kinsoku w:val="0"/>
        <w:overflowPunct w:val="0"/>
        <w:autoSpaceDE w:val="0"/>
        <w:autoSpaceDN w:val="0"/>
        <w:adjustRightInd w:val="0"/>
        <w:ind w:left="119" w:right="111"/>
        <w:jc w:val="both"/>
        <w:rPr>
          <w:rFonts w:eastAsiaTheme="minorEastAsia"/>
          <w:spacing w:val="-1"/>
        </w:rPr>
      </w:pPr>
    </w:p>
    <w:p w:rsidR="00A230C8" w:rsidRDefault="00A230C8" w:rsidP="00A230C8">
      <w:pPr>
        <w:kinsoku w:val="0"/>
        <w:overflowPunct w:val="0"/>
        <w:autoSpaceDE w:val="0"/>
        <w:autoSpaceDN w:val="0"/>
        <w:adjustRightInd w:val="0"/>
        <w:ind w:left="119" w:right="111"/>
        <w:jc w:val="both"/>
        <w:rPr>
          <w:rFonts w:eastAsiaTheme="minorEastAsia"/>
          <w:spacing w:val="-1"/>
        </w:rPr>
      </w:pPr>
      <w:r>
        <w:rPr>
          <w:rFonts w:hint="eastAsia"/>
          <w:spacing w:val="-1"/>
        </w:rPr>
        <w:t>於</w:t>
      </w:r>
      <w:r>
        <w:rPr>
          <w:spacing w:val="-1"/>
        </w:rPr>
        <w:t>2017</w:t>
      </w:r>
      <w:r>
        <w:rPr>
          <w:rFonts w:hint="eastAsia"/>
          <w:spacing w:val="-1"/>
        </w:rPr>
        <w:t>年</w:t>
      </w:r>
      <w:r>
        <w:rPr>
          <w:spacing w:val="-1"/>
        </w:rPr>
        <w:t>12</w:t>
      </w:r>
      <w:r>
        <w:rPr>
          <w:rFonts w:hint="eastAsia"/>
          <w:spacing w:val="-1"/>
        </w:rPr>
        <w:t>月</w:t>
      </w:r>
      <w:r>
        <w:rPr>
          <w:spacing w:val="-1"/>
        </w:rPr>
        <w:t>1</w:t>
      </w:r>
      <w:r>
        <w:rPr>
          <w:rFonts w:hint="eastAsia"/>
          <w:spacing w:val="-1"/>
        </w:rPr>
        <w:t>日，</w:t>
      </w:r>
      <w:proofErr w:type="spellStart"/>
      <w:r>
        <w:rPr>
          <w:rFonts w:eastAsiaTheme="minorEastAsia"/>
          <w:spacing w:val="-1"/>
          <w:lang w:eastAsia="zh-CN"/>
        </w:rPr>
        <w:t>Charu</w:t>
      </w:r>
      <w:proofErr w:type="spellEnd"/>
      <w:r>
        <w:rPr>
          <w:rFonts w:eastAsiaTheme="minorEastAsia"/>
          <w:spacing w:val="-1"/>
          <w:lang w:eastAsia="zh-CN"/>
        </w:rPr>
        <w:t xml:space="preserve"> Fernando</w:t>
      </w:r>
      <w:r>
        <w:rPr>
          <w:rFonts w:hint="eastAsia"/>
          <w:spacing w:val="-1"/>
        </w:rPr>
        <w:t>及其家族控制</w:t>
      </w:r>
      <w:r>
        <w:rPr>
          <w:spacing w:val="-1"/>
        </w:rPr>
        <w:t>EPL</w:t>
      </w:r>
      <w:r>
        <w:rPr>
          <w:rFonts w:hint="eastAsia"/>
          <w:spacing w:val="-1"/>
        </w:rPr>
        <w:t>約</w:t>
      </w:r>
      <w:r>
        <w:rPr>
          <w:spacing w:val="-1"/>
        </w:rPr>
        <w:t>59% B</w:t>
      </w:r>
      <w:r>
        <w:rPr>
          <w:rFonts w:hint="eastAsia"/>
          <w:spacing w:val="-1"/>
        </w:rPr>
        <w:t>類股份。換言之，</w:t>
      </w:r>
      <w:r>
        <w:rPr>
          <w:rFonts w:eastAsiaTheme="minorEastAsia"/>
          <w:spacing w:val="-1"/>
        </w:rPr>
        <w:t>Fernando</w:t>
      </w:r>
      <w:r>
        <w:rPr>
          <w:rFonts w:hint="eastAsia"/>
          <w:spacing w:val="-1"/>
        </w:rPr>
        <w:t>太太控制</w:t>
      </w:r>
      <w:r>
        <w:rPr>
          <w:spacing w:val="-1"/>
        </w:rPr>
        <w:t>EPL</w:t>
      </w:r>
      <w:r>
        <w:rPr>
          <w:rFonts w:hint="eastAsia"/>
          <w:spacing w:val="-1"/>
        </w:rPr>
        <w:t>。此外，</w:t>
      </w:r>
      <w:r>
        <w:rPr>
          <w:rFonts w:eastAsiaTheme="minorEastAsia"/>
          <w:spacing w:val="-1"/>
        </w:rPr>
        <w:t>Fernando</w:t>
      </w:r>
      <w:r>
        <w:rPr>
          <w:rFonts w:hint="eastAsia"/>
          <w:spacing w:val="-1"/>
        </w:rPr>
        <w:t>太太亦為</w:t>
      </w:r>
      <w:proofErr w:type="spellStart"/>
      <w:r>
        <w:rPr>
          <w:rFonts w:eastAsiaTheme="minorEastAsia"/>
          <w:spacing w:val="-1"/>
        </w:rPr>
        <w:t>Edgbaston</w:t>
      </w:r>
      <w:proofErr w:type="spellEnd"/>
      <w:r>
        <w:rPr>
          <w:rFonts w:hint="eastAsia"/>
          <w:spacing w:val="-1"/>
        </w:rPr>
        <w:t>的主席兼投資總監，並控制</w:t>
      </w:r>
      <w:proofErr w:type="spellStart"/>
      <w:r>
        <w:rPr>
          <w:rFonts w:eastAsiaTheme="minorEastAsia"/>
          <w:spacing w:val="-1"/>
        </w:rPr>
        <w:t>Edgbaston</w:t>
      </w:r>
      <w:proofErr w:type="spellEnd"/>
      <w:r>
        <w:rPr>
          <w:rFonts w:hint="eastAsia"/>
          <w:spacing w:val="-1"/>
        </w:rPr>
        <w:t>的日常業務及運作。</w:t>
      </w:r>
    </w:p>
    <w:p w:rsidR="00A230C8" w:rsidRDefault="00A230C8" w:rsidP="00A230C8">
      <w:pPr>
        <w:kinsoku w:val="0"/>
        <w:overflowPunct w:val="0"/>
        <w:autoSpaceDE w:val="0"/>
        <w:autoSpaceDN w:val="0"/>
        <w:adjustRightInd w:val="0"/>
        <w:ind w:left="119" w:right="111"/>
        <w:jc w:val="both"/>
        <w:rPr>
          <w:rFonts w:eastAsiaTheme="minorEastAsia"/>
          <w:spacing w:val="-1"/>
        </w:rPr>
      </w:pPr>
    </w:p>
    <w:p w:rsidR="00A230C8" w:rsidRDefault="00A230C8" w:rsidP="00A230C8">
      <w:pPr>
        <w:kinsoku w:val="0"/>
        <w:overflowPunct w:val="0"/>
        <w:autoSpaceDE w:val="0"/>
        <w:autoSpaceDN w:val="0"/>
        <w:adjustRightInd w:val="0"/>
        <w:ind w:left="119" w:right="111"/>
        <w:jc w:val="both"/>
        <w:rPr>
          <w:spacing w:val="-1"/>
        </w:rPr>
      </w:pPr>
      <w:proofErr w:type="spellStart"/>
      <w:r>
        <w:rPr>
          <w:rFonts w:eastAsiaTheme="minorEastAsia"/>
          <w:spacing w:val="-1"/>
          <w:lang w:eastAsia="zh-CN"/>
        </w:rPr>
        <w:t>Silchester</w:t>
      </w:r>
      <w:proofErr w:type="spellEnd"/>
      <w:r>
        <w:rPr>
          <w:rFonts w:hint="eastAsia"/>
          <w:spacing w:val="-1"/>
        </w:rPr>
        <w:t>、</w:t>
      </w:r>
      <w:r>
        <w:rPr>
          <w:rFonts w:eastAsiaTheme="minorEastAsia"/>
          <w:spacing w:val="-1"/>
          <w:lang w:eastAsia="zh-CN"/>
        </w:rPr>
        <w:t>SP Ltd</w:t>
      </w:r>
      <w:r>
        <w:rPr>
          <w:rFonts w:hint="eastAsia"/>
          <w:spacing w:val="-1"/>
        </w:rPr>
        <w:t>及</w:t>
      </w:r>
      <w:r>
        <w:rPr>
          <w:rFonts w:eastAsiaTheme="minorEastAsia"/>
          <w:spacing w:val="-1"/>
          <w:lang w:eastAsia="zh-CN"/>
        </w:rPr>
        <w:t>SCL</w:t>
      </w:r>
      <w:r>
        <w:rPr>
          <w:rFonts w:ascii="新細明體" w:hAnsi="新細明體" w:hint="eastAsia"/>
          <w:spacing w:val="-1"/>
        </w:rPr>
        <w:t>方面與</w:t>
      </w:r>
      <w:r>
        <w:rPr>
          <w:rFonts w:eastAsiaTheme="minorEastAsia"/>
          <w:spacing w:val="-1"/>
          <w:lang w:eastAsia="zh-CN"/>
        </w:rPr>
        <w:t>EPL</w:t>
      </w:r>
      <w:r>
        <w:rPr>
          <w:rFonts w:ascii="新細明體" w:hAnsi="新細明體" w:hint="eastAsia"/>
          <w:spacing w:val="-1"/>
        </w:rPr>
        <w:t>及</w:t>
      </w:r>
      <w:proofErr w:type="spellStart"/>
      <w:r>
        <w:rPr>
          <w:rFonts w:eastAsiaTheme="minorEastAsia"/>
          <w:spacing w:val="-1"/>
          <w:lang w:eastAsia="zh-CN"/>
        </w:rPr>
        <w:t>Edgbaston</w:t>
      </w:r>
      <w:proofErr w:type="spellEnd"/>
      <w:r>
        <w:rPr>
          <w:rFonts w:ascii="新細明體" w:hAnsi="新細明體" w:hint="eastAsia"/>
          <w:spacing w:val="-1"/>
        </w:rPr>
        <w:t>方面</w:t>
      </w:r>
      <w:r>
        <w:rPr>
          <w:rFonts w:hint="eastAsia"/>
          <w:spacing w:val="-1"/>
        </w:rPr>
        <w:t>之間並無共同僱員或經營合伙人。</w:t>
      </w:r>
    </w:p>
    <w:p w:rsidR="00A230C8" w:rsidRDefault="00A230C8" w:rsidP="00A230C8">
      <w:pPr>
        <w:kinsoku w:val="0"/>
        <w:overflowPunct w:val="0"/>
        <w:autoSpaceDE w:val="0"/>
        <w:autoSpaceDN w:val="0"/>
        <w:adjustRightInd w:val="0"/>
        <w:ind w:left="119" w:right="111"/>
        <w:jc w:val="both"/>
        <w:rPr>
          <w:spacing w:val="-1"/>
        </w:rPr>
      </w:pPr>
    </w:p>
    <w:p w:rsidR="00A230C8" w:rsidRDefault="00A230C8" w:rsidP="00A230C8">
      <w:pPr>
        <w:kinsoku w:val="0"/>
        <w:overflowPunct w:val="0"/>
        <w:autoSpaceDE w:val="0"/>
        <w:autoSpaceDN w:val="0"/>
        <w:adjustRightInd w:val="0"/>
        <w:ind w:left="119" w:right="111"/>
        <w:jc w:val="both"/>
        <w:rPr>
          <w:rFonts w:eastAsiaTheme="minorEastAsia"/>
          <w:spacing w:val="-1"/>
        </w:rPr>
      </w:pPr>
      <w:r>
        <w:rPr>
          <w:rFonts w:eastAsiaTheme="minorEastAsia"/>
          <w:spacing w:val="-1"/>
        </w:rPr>
        <w:t xml:space="preserve">Tim </w:t>
      </w:r>
      <w:proofErr w:type="spellStart"/>
      <w:r>
        <w:rPr>
          <w:rFonts w:eastAsiaTheme="minorEastAsia"/>
          <w:spacing w:val="-1"/>
        </w:rPr>
        <w:t>Linehan</w:t>
      </w:r>
      <w:proofErr w:type="spellEnd"/>
      <w:r>
        <w:rPr>
          <w:rFonts w:hint="eastAsia"/>
          <w:spacing w:val="-1"/>
        </w:rPr>
        <w:t>先生為</w:t>
      </w:r>
      <w:proofErr w:type="spellStart"/>
      <w:r>
        <w:rPr>
          <w:rFonts w:eastAsiaTheme="minorEastAsia"/>
          <w:spacing w:val="-1"/>
        </w:rPr>
        <w:t>Silchester</w:t>
      </w:r>
      <w:proofErr w:type="spellEnd"/>
      <w:r>
        <w:rPr>
          <w:rFonts w:hint="eastAsia"/>
          <w:spacing w:val="-1"/>
        </w:rPr>
        <w:t>的高級合伙人兼合規總監，並為</w:t>
      </w:r>
      <w:r>
        <w:rPr>
          <w:rFonts w:eastAsiaTheme="minorEastAsia"/>
          <w:spacing w:val="-1"/>
        </w:rPr>
        <w:t>SP Ltd</w:t>
      </w:r>
      <w:r>
        <w:rPr>
          <w:rFonts w:hint="eastAsia"/>
          <w:spacing w:val="-1"/>
        </w:rPr>
        <w:t>、</w:t>
      </w:r>
      <w:r>
        <w:rPr>
          <w:rFonts w:eastAsiaTheme="minorEastAsia"/>
          <w:spacing w:val="-1"/>
        </w:rPr>
        <w:t>SCL</w:t>
      </w:r>
      <w:r>
        <w:rPr>
          <w:rFonts w:hint="eastAsia"/>
          <w:spacing w:val="-1"/>
        </w:rPr>
        <w:t>及</w:t>
      </w:r>
      <w:r>
        <w:rPr>
          <w:rFonts w:eastAsiaTheme="minorEastAsia"/>
          <w:spacing w:val="-1"/>
        </w:rPr>
        <w:t>EPL</w:t>
      </w:r>
      <w:r>
        <w:rPr>
          <w:rFonts w:hint="eastAsia"/>
          <w:spacing w:val="-1"/>
        </w:rPr>
        <w:t>的董事，亦為</w:t>
      </w:r>
      <w:proofErr w:type="spellStart"/>
      <w:r>
        <w:rPr>
          <w:rFonts w:eastAsiaTheme="minorEastAsia"/>
          <w:spacing w:val="-1"/>
        </w:rPr>
        <w:t>Edgbaston</w:t>
      </w:r>
      <w:proofErr w:type="spellEnd"/>
      <w:r>
        <w:rPr>
          <w:rFonts w:hint="eastAsia"/>
          <w:spacing w:val="-1"/>
        </w:rPr>
        <w:t>監督小組成員之一（其餘三名成員為</w:t>
      </w:r>
      <w:proofErr w:type="spellStart"/>
      <w:r>
        <w:rPr>
          <w:rFonts w:eastAsiaTheme="minorEastAsia"/>
          <w:spacing w:val="-1"/>
        </w:rPr>
        <w:t>Edgbasto</w:t>
      </w:r>
      <w:r>
        <w:rPr>
          <w:spacing w:val="-1"/>
        </w:rPr>
        <w:t>n</w:t>
      </w:r>
      <w:proofErr w:type="spellEnd"/>
      <w:r>
        <w:rPr>
          <w:rFonts w:hint="eastAsia"/>
          <w:spacing w:val="-1"/>
        </w:rPr>
        <w:t>經營合伙人）。除</w:t>
      </w:r>
      <w:proofErr w:type="spellStart"/>
      <w:r>
        <w:rPr>
          <w:rFonts w:eastAsiaTheme="minorEastAsia"/>
          <w:spacing w:val="-1"/>
        </w:rPr>
        <w:t>Linehan</w:t>
      </w:r>
      <w:proofErr w:type="spellEnd"/>
      <w:r>
        <w:rPr>
          <w:rFonts w:hint="eastAsia"/>
          <w:spacing w:val="-1"/>
        </w:rPr>
        <w:t>先生擔任</w:t>
      </w:r>
      <w:r>
        <w:rPr>
          <w:spacing w:val="-1"/>
        </w:rPr>
        <w:t>EPL</w:t>
      </w:r>
      <w:r>
        <w:rPr>
          <w:rFonts w:hint="eastAsia"/>
          <w:spacing w:val="-1"/>
        </w:rPr>
        <w:t>董事會的</w:t>
      </w:r>
      <w:r>
        <w:rPr>
          <w:spacing w:val="-1"/>
        </w:rPr>
        <w:t>SP Ltd</w:t>
      </w:r>
      <w:r>
        <w:rPr>
          <w:rFonts w:hint="eastAsia"/>
          <w:spacing w:val="-1"/>
        </w:rPr>
        <w:t>提名人及</w:t>
      </w:r>
      <w:proofErr w:type="spellStart"/>
      <w:r>
        <w:rPr>
          <w:rFonts w:eastAsiaTheme="minorEastAsia"/>
          <w:spacing w:val="-1"/>
        </w:rPr>
        <w:t>Edgbaston</w:t>
      </w:r>
      <w:proofErr w:type="spellEnd"/>
      <w:r>
        <w:rPr>
          <w:rFonts w:hint="eastAsia"/>
          <w:spacing w:val="-1"/>
        </w:rPr>
        <w:t>監督小組中的</w:t>
      </w:r>
      <w:r>
        <w:rPr>
          <w:spacing w:val="-1"/>
        </w:rPr>
        <w:t>EPL</w:t>
      </w:r>
      <w:r>
        <w:rPr>
          <w:rFonts w:hint="eastAsia"/>
          <w:spacing w:val="-1"/>
        </w:rPr>
        <w:t>目前指定代表以外，</w:t>
      </w:r>
      <w:proofErr w:type="spellStart"/>
      <w:r>
        <w:rPr>
          <w:rFonts w:eastAsiaTheme="minorEastAsia"/>
          <w:spacing w:val="-1"/>
        </w:rPr>
        <w:t>Silchester</w:t>
      </w:r>
      <w:proofErr w:type="spellEnd"/>
      <w:r>
        <w:rPr>
          <w:rFonts w:hint="eastAsia"/>
          <w:spacing w:val="-1"/>
        </w:rPr>
        <w:t>、</w:t>
      </w:r>
      <w:r>
        <w:rPr>
          <w:rFonts w:eastAsiaTheme="minorEastAsia"/>
          <w:spacing w:val="-1"/>
        </w:rPr>
        <w:t>SP Ltd</w:t>
      </w:r>
      <w:r>
        <w:rPr>
          <w:rFonts w:hint="eastAsia"/>
          <w:spacing w:val="-1"/>
        </w:rPr>
        <w:t>及</w:t>
      </w:r>
      <w:r>
        <w:rPr>
          <w:rFonts w:eastAsiaTheme="minorEastAsia"/>
          <w:spacing w:val="-1"/>
        </w:rPr>
        <w:t>SCL</w:t>
      </w:r>
      <w:r>
        <w:rPr>
          <w:rFonts w:hint="eastAsia"/>
          <w:spacing w:val="-1"/>
        </w:rPr>
        <w:t>方面與</w:t>
      </w:r>
      <w:r>
        <w:rPr>
          <w:rFonts w:eastAsiaTheme="minorEastAsia"/>
          <w:spacing w:val="-1"/>
        </w:rPr>
        <w:t>EPL</w:t>
      </w:r>
      <w:r>
        <w:rPr>
          <w:rFonts w:hint="eastAsia"/>
          <w:spacing w:val="-1"/>
        </w:rPr>
        <w:t>及</w:t>
      </w:r>
      <w:proofErr w:type="spellStart"/>
      <w:r>
        <w:rPr>
          <w:rFonts w:eastAsiaTheme="minorEastAsia"/>
          <w:spacing w:val="-1"/>
        </w:rPr>
        <w:t>Edgbaston</w:t>
      </w:r>
      <w:proofErr w:type="spellEnd"/>
      <w:r>
        <w:rPr>
          <w:rFonts w:hint="eastAsia"/>
          <w:spacing w:val="-1"/>
        </w:rPr>
        <w:t>方面的董事、高級管理層、投資與組合經理、經營合伙人或其他僱員職位之間並無重疊。</w:t>
      </w:r>
    </w:p>
    <w:p w:rsidR="00A230C8" w:rsidRDefault="00A230C8" w:rsidP="00A230C8">
      <w:pPr>
        <w:kinsoku w:val="0"/>
        <w:overflowPunct w:val="0"/>
        <w:autoSpaceDE w:val="0"/>
        <w:autoSpaceDN w:val="0"/>
        <w:adjustRightInd w:val="0"/>
        <w:ind w:left="119" w:right="115"/>
        <w:jc w:val="both"/>
        <w:rPr>
          <w:rFonts w:eastAsiaTheme="minorEastAsia"/>
          <w:sz w:val="21"/>
          <w:szCs w:val="21"/>
        </w:rPr>
      </w:pPr>
    </w:p>
    <w:p w:rsidR="00A230C8" w:rsidRDefault="00A230C8" w:rsidP="00A230C8">
      <w:pPr>
        <w:kinsoku w:val="0"/>
        <w:overflowPunct w:val="0"/>
        <w:autoSpaceDE w:val="0"/>
        <w:autoSpaceDN w:val="0"/>
        <w:adjustRightInd w:val="0"/>
        <w:ind w:left="120" w:right="113" w:hanging="1"/>
        <w:jc w:val="both"/>
        <w:rPr>
          <w:rFonts w:eastAsiaTheme="minorEastAsia"/>
          <w:spacing w:val="-1"/>
        </w:rPr>
      </w:pPr>
      <w:r>
        <w:rPr>
          <w:rFonts w:eastAsiaTheme="minorEastAsia"/>
          <w:spacing w:val="-1"/>
        </w:rPr>
        <w:tab/>
      </w:r>
      <w:proofErr w:type="spellStart"/>
      <w:r>
        <w:rPr>
          <w:rFonts w:eastAsiaTheme="minorEastAsia"/>
          <w:spacing w:val="-1"/>
        </w:rPr>
        <w:t>Edgbaston</w:t>
      </w:r>
      <w:proofErr w:type="spellEnd"/>
      <w:r>
        <w:rPr>
          <w:rFonts w:hint="eastAsia"/>
          <w:spacing w:val="-1"/>
        </w:rPr>
        <w:t>監督小組的各種討論僅限於其合伙運作事宜，當中並不包括</w:t>
      </w:r>
      <w:proofErr w:type="spellStart"/>
      <w:r>
        <w:rPr>
          <w:rFonts w:eastAsiaTheme="minorEastAsia"/>
          <w:spacing w:val="-1"/>
        </w:rPr>
        <w:t>Edgbaston</w:t>
      </w:r>
      <w:proofErr w:type="spellEnd"/>
      <w:r>
        <w:rPr>
          <w:rFonts w:hint="eastAsia"/>
          <w:spacing w:val="-1"/>
        </w:rPr>
        <w:t>代</w:t>
      </w:r>
      <w:proofErr w:type="spellStart"/>
      <w:r>
        <w:rPr>
          <w:rFonts w:eastAsiaTheme="minorEastAsia"/>
          <w:spacing w:val="-1"/>
        </w:rPr>
        <w:t>Edgbaston</w:t>
      </w:r>
      <w:proofErr w:type="spellEnd"/>
      <w:r>
        <w:rPr>
          <w:rFonts w:hint="eastAsia"/>
          <w:spacing w:val="-1"/>
        </w:rPr>
        <w:t>集體投資計劃所作或將會作出的具體投資事宜；此等事宜僅屬</w:t>
      </w:r>
      <w:proofErr w:type="spellStart"/>
      <w:r>
        <w:rPr>
          <w:rFonts w:eastAsiaTheme="minorEastAsia"/>
          <w:spacing w:val="-1"/>
        </w:rPr>
        <w:t>Edgbaston</w:t>
      </w:r>
      <w:proofErr w:type="spellEnd"/>
      <w:r>
        <w:rPr>
          <w:rFonts w:hint="eastAsia"/>
          <w:spacing w:val="-1"/>
        </w:rPr>
        <w:t>僱員及經營人員的討論範圍。</w:t>
      </w:r>
      <w:proofErr w:type="spellStart"/>
      <w:r>
        <w:rPr>
          <w:rFonts w:eastAsiaTheme="minorEastAsia"/>
          <w:spacing w:val="-1"/>
        </w:rPr>
        <w:t>Linehan</w:t>
      </w:r>
      <w:proofErr w:type="spellEnd"/>
      <w:r>
        <w:rPr>
          <w:rFonts w:hint="eastAsia"/>
          <w:spacing w:val="-1"/>
        </w:rPr>
        <w:t>先生並未直接或間接牽涉於</w:t>
      </w:r>
      <w:r>
        <w:rPr>
          <w:rFonts w:eastAsiaTheme="minorEastAsia"/>
          <w:spacing w:val="-1"/>
        </w:rPr>
        <w:t>EPL</w:t>
      </w:r>
      <w:r>
        <w:rPr>
          <w:rFonts w:hint="eastAsia"/>
          <w:spacing w:val="-1"/>
        </w:rPr>
        <w:t>或</w:t>
      </w:r>
      <w:proofErr w:type="spellStart"/>
      <w:r>
        <w:rPr>
          <w:rFonts w:eastAsiaTheme="minorEastAsia"/>
          <w:spacing w:val="-1"/>
        </w:rPr>
        <w:t>Edgbaston</w:t>
      </w:r>
      <w:proofErr w:type="spellEnd"/>
      <w:r>
        <w:rPr>
          <w:rFonts w:hint="eastAsia"/>
          <w:spacing w:val="-1"/>
        </w:rPr>
        <w:t>的日常業務。</w:t>
      </w:r>
      <w:r>
        <w:rPr>
          <w:rFonts w:eastAsiaTheme="minorEastAsia" w:hint="eastAsia"/>
          <w:spacing w:val="-1"/>
        </w:rPr>
        <w:t xml:space="preserve"> </w:t>
      </w:r>
    </w:p>
    <w:p w:rsidR="00A230C8" w:rsidRDefault="00A230C8" w:rsidP="00A230C8">
      <w:pPr>
        <w:kinsoku w:val="0"/>
        <w:overflowPunct w:val="0"/>
        <w:autoSpaceDE w:val="0"/>
        <w:autoSpaceDN w:val="0"/>
        <w:adjustRightInd w:val="0"/>
        <w:ind w:left="119" w:right="115"/>
        <w:jc w:val="both"/>
        <w:rPr>
          <w:rFonts w:eastAsiaTheme="minorEastAsia"/>
          <w:spacing w:val="-1"/>
        </w:rPr>
      </w:pPr>
    </w:p>
    <w:p w:rsidR="00A230C8" w:rsidRDefault="00A230C8" w:rsidP="00A230C8">
      <w:pPr>
        <w:kinsoku w:val="0"/>
        <w:overflowPunct w:val="0"/>
        <w:autoSpaceDE w:val="0"/>
        <w:autoSpaceDN w:val="0"/>
        <w:adjustRightInd w:val="0"/>
        <w:ind w:left="119" w:right="115"/>
        <w:jc w:val="both"/>
        <w:rPr>
          <w:rFonts w:eastAsiaTheme="minorEastAsia"/>
          <w:spacing w:val="-1"/>
        </w:rPr>
      </w:pPr>
      <w:r>
        <w:rPr>
          <w:rFonts w:hint="eastAsia"/>
          <w:spacing w:val="-1"/>
        </w:rPr>
        <w:lastRenderedPageBreak/>
        <w:t>自無線電視公佈其擬提出的股份回購要約後，</w:t>
      </w:r>
      <w:proofErr w:type="spellStart"/>
      <w:r>
        <w:rPr>
          <w:rFonts w:eastAsiaTheme="minorEastAsia"/>
          <w:spacing w:val="-1"/>
        </w:rPr>
        <w:t>Edgbaston</w:t>
      </w:r>
      <w:proofErr w:type="spellEnd"/>
      <w:r>
        <w:rPr>
          <w:rFonts w:hint="eastAsia"/>
          <w:spacing w:val="-1"/>
        </w:rPr>
        <w:t>未曾代客戶購入或出售任何無線電視股份。</w:t>
      </w:r>
      <w:proofErr w:type="spellStart"/>
      <w:r>
        <w:rPr>
          <w:rFonts w:eastAsiaTheme="minorEastAsia"/>
          <w:spacing w:val="-1"/>
        </w:rPr>
        <w:t>Edgbaston</w:t>
      </w:r>
      <w:proofErr w:type="spellEnd"/>
      <w:r>
        <w:rPr>
          <w:rFonts w:hint="eastAsia"/>
          <w:spacing w:val="-1"/>
        </w:rPr>
        <w:t>如須在要約期內代客戶購入或出售任何無線電視股份，則會知會</w:t>
      </w:r>
      <w:proofErr w:type="spellStart"/>
      <w:r>
        <w:rPr>
          <w:rFonts w:eastAsiaTheme="minorEastAsia"/>
          <w:spacing w:val="-1"/>
        </w:rPr>
        <w:t>Silchester</w:t>
      </w:r>
      <w:proofErr w:type="spellEnd"/>
      <w:r>
        <w:rPr>
          <w:rFonts w:hint="eastAsia"/>
          <w:spacing w:val="-1"/>
        </w:rPr>
        <w:t>，且</w:t>
      </w:r>
      <w:proofErr w:type="spellStart"/>
      <w:r>
        <w:rPr>
          <w:rFonts w:eastAsiaTheme="minorEastAsia"/>
          <w:spacing w:val="-1"/>
        </w:rPr>
        <w:t>Silchester</w:t>
      </w:r>
      <w:proofErr w:type="spellEnd"/>
      <w:r>
        <w:rPr>
          <w:rFonts w:hint="eastAsia"/>
          <w:spacing w:val="-1"/>
        </w:rPr>
        <w:t>將披露該等交易。</w:t>
      </w:r>
      <w:proofErr w:type="spellStart"/>
      <w:r>
        <w:rPr>
          <w:rFonts w:eastAsiaTheme="minorEastAsia"/>
          <w:spacing w:val="-1"/>
        </w:rPr>
        <w:t>Silchester</w:t>
      </w:r>
      <w:proofErr w:type="spellEnd"/>
      <w:r>
        <w:rPr>
          <w:rFonts w:hint="eastAsia"/>
          <w:spacing w:val="-1"/>
        </w:rPr>
        <w:t>亦已要求</w:t>
      </w:r>
      <w:proofErr w:type="spellStart"/>
      <w:r>
        <w:rPr>
          <w:rFonts w:eastAsiaTheme="minorEastAsia"/>
          <w:spacing w:val="-1"/>
        </w:rPr>
        <w:t>Edgbaston</w:t>
      </w:r>
      <w:proofErr w:type="spellEnd"/>
      <w:r>
        <w:rPr>
          <w:rFonts w:hint="eastAsia"/>
          <w:spacing w:val="-1"/>
        </w:rPr>
        <w:t>在此情況下另行擬備披露，以確保市場參與者可獲適時提供清晰準確的資料。</w:t>
      </w:r>
    </w:p>
    <w:p w:rsidR="00A230C8" w:rsidRDefault="00A230C8" w:rsidP="00A230C8">
      <w:pPr>
        <w:kinsoku w:val="0"/>
        <w:overflowPunct w:val="0"/>
        <w:autoSpaceDE w:val="0"/>
        <w:autoSpaceDN w:val="0"/>
        <w:adjustRightInd w:val="0"/>
        <w:ind w:left="119" w:right="115"/>
        <w:jc w:val="both"/>
        <w:rPr>
          <w:rFonts w:eastAsiaTheme="minorEastAsia"/>
          <w:spacing w:val="-1"/>
        </w:rPr>
      </w:pPr>
    </w:p>
    <w:p w:rsidR="00A230C8" w:rsidRDefault="00A230C8" w:rsidP="00A230C8">
      <w:pPr>
        <w:kinsoku w:val="0"/>
        <w:overflowPunct w:val="0"/>
        <w:autoSpaceDE w:val="0"/>
        <w:autoSpaceDN w:val="0"/>
        <w:adjustRightInd w:val="0"/>
        <w:ind w:left="119" w:right="115"/>
        <w:jc w:val="both"/>
        <w:rPr>
          <w:rFonts w:eastAsiaTheme="minorEastAsia"/>
          <w:spacing w:val="-1"/>
        </w:rPr>
      </w:pPr>
      <w:r>
        <w:rPr>
          <w:rFonts w:hint="eastAsia"/>
          <w:spacing w:val="-1"/>
        </w:rPr>
        <w:t>據</w:t>
      </w:r>
      <w:proofErr w:type="spellStart"/>
      <w:r>
        <w:rPr>
          <w:rFonts w:eastAsiaTheme="minorEastAsia"/>
          <w:spacing w:val="-1"/>
        </w:rPr>
        <w:t>Silchester</w:t>
      </w:r>
      <w:proofErr w:type="spellEnd"/>
      <w:r>
        <w:rPr>
          <w:rFonts w:hint="eastAsia"/>
          <w:spacing w:val="-1"/>
        </w:rPr>
        <w:t>了解，就與收購無關的香港披露事宜而言，</w:t>
      </w:r>
      <w:proofErr w:type="spellStart"/>
      <w:r>
        <w:rPr>
          <w:rFonts w:eastAsiaTheme="minorEastAsia"/>
          <w:spacing w:val="-1"/>
        </w:rPr>
        <w:t>Edgbaston</w:t>
      </w:r>
      <w:proofErr w:type="spellEnd"/>
      <w:r>
        <w:rPr>
          <w:rFonts w:hint="eastAsia"/>
          <w:spacing w:val="-1"/>
        </w:rPr>
        <w:t>所持有的無線電視股份無須合併計算。具體而言，</w:t>
      </w:r>
      <w:proofErr w:type="spellStart"/>
      <w:r>
        <w:rPr>
          <w:rFonts w:eastAsiaTheme="minorEastAsia"/>
          <w:spacing w:val="-1"/>
        </w:rPr>
        <w:t>Silchester</w:t>
      </w:r>
      <w:proofErr w:type="spellEnd"/>
      <w:r>
        <w:rPr>
          <w:rFonts w:hint="eastAsia"/>
          <w:spacing w:val="-1"/>
        </w:rPr>
        <w:t>希望強調，通訊事務管理局辦公室知悉</w:t>
      </w:r>
      <w:proofErr w:type="spellStart"/>
      <w:r>
        <w:rPr>
          <w:rFonts w:eastAsiaTheme="minorEastAsia"/>
          <w:spacing w:val="-1"/>
        </w:rPr>
        <w:t>Silchester</w:t>
      </w:r>
      <w:proofErr w:type="spellEnd"/>
      <w:r>
        <w:rPr>
          <w:rFonts w:hint="eastAsia"/>
          <w:spacing w:val="-1"/>
        </w:rPr>
        <w:t>與</w:t>
      </w:r>
      <w:proofErr w:type="spellStart"/>
      <w:r>
        <w:rPr>
          <w:rFonts w:eastAsiaTheme="minorEastAsia"/>
          <w:spacing w:val="-1"/>
        </w:rPr>
        <w:t>Edgbaston</w:t>
      </w:r>
      <w:proofErr w:type="spellEnd"/>
      <w:r>
        <w:rPr>
          <w:rFonts w:hint="eastAsia"/>
          <w:spacing w:val="-1"/>
        </w:rPr>
        <w:t>之間有何關係，且在為了確定是否符合《廣播條例》下「表決控權人」上限時，亦未將兩者權益合併計算。</w:t>
      </w:r>
    </w:p>
    <w:p w:rsidR="00542F26" w:rsidRPr="00542F26" w:rsidRDefault="00542F26" w:rsidP="00542F26">
      <w:pPr>
        <w:widowControl/>
        <w:topLinePunct/>
        <w:adjustRightInd w:val="0"/>
        <w:rPr>
          <w:color w:val="auto"/>
        </w:rPr>
      </w:pPr>
    </w:p>
    <w:sectPr w:rsidR="00542F26" w:rsidRPr="00542F26" w:rsidSect="00C543E9">
      <w:headerReference w:type="default" r:id="rId11"/>
      <w:pgSz w:w="16839" w:h="11907" w:orient="landscape" w:code="9"/>
      <w:pgMar w:top="720" w:right="720" w:bottom="720" w:left="720" w:header="864" w:footer="8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CDB" w:rsidRDefault="00901CDB" w:rsidP="00095445">
      <w:r>
        <w:separator/>
      </w:r>
    </w:p>
  </w:endnote>
  <w:endnote w:type="continuationSeparator" w:id="0">
    <w:p w:rsidR="00901CDB" w:rsidRDefault="00901CDB" w:rsidP="0009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3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CDB" w:rsidRDefault="00901CDB" w:rsidP="00095445">
      <w:r>
        <w:separator/>
      </w:r>
    </w:p>
  </w:footnote>
  <w:footnote w:type="continuationSeparator" w:id="0">
    <w:p w:rsidR="00901CDB" w:rsidRDefault="00901CDB" w:rsidP="00095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445" w:rsidRPr="00251CCF" w:rsidRDefault="00095445" w:rsidP="00095445">
    <w:pPr>
      <w:pStyle w:val="Header"/>
      <w:jc w:val="right"/>
      <w:rPr>
        <w:rFonts w:ascii="Arial" w:hAnsi="Arial" w:cs="Arial"/>
        <w:b/>
        <w:color w:val="83898E"/>
        <w:sz w:val="28"/>
        <w:szCs w:val="28"/>
      </w:rPr>
    </w:pPr>
    <w:r w:rsidRPr="00251CCF">
      <w:rPr>
        <w:rFonts w:ascii="Arial" w:hAnsi="Arial" w:cs="Arial"/>
        <w:b/>
        <w:noProof/>
        <w:color w:val="83898E"/>
        <w:sz w:val="28"/>
        <w:szCs w:val="28"/>
        <w:lang w:val="en-GB" w:eastAsia="zh-CN"/>
      </w:rPr>
      <w:drawing>
        <wp:anchor distT="0" distB="0" distL="114300" distR="114300" simplePos="0" relativeHeight="251659264" behindDoc="0" locked="1" layoutInCell="1" allowOverlap="1">
          <wp:simplePos x="0" y="0"/>
          <wp:positionH relativeFrom="column">
            <wp:posOffset>-28575</wp:posOffset>
          </wp:positionH>
          <wp:positionV relativeFrom="paragraph">
            <wp:posOffset>3810</wp:posOffset>
          </wp:positionV>
          <wp:extent cx="3141980" cy="1005840"/>
          <wp:effectExtent l="19050" t="0" r="127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41980" cy="1005840"/>
                  </a:xfrm>
                  <a:prstGeom prst="rect">
                    <a:avLst/>
                  </a:prstGeom>
                  <a:noFill/>
                  <a:ln>
                    <a:noFill/>
                  </a:ln>
                </pic:spPr>
              </pic:pic>
            </a:graphicData>
          </a:graphic>
        </wp:anchor>
      </w:drawing>
    </w:r>
    <w:r w:rsidR="007219EC">
      <w:rPr>
        <w:rFonts w:ascii="Arial" w:hAnsi="Arial" w:cs="Arial" w:hint="eastAsia"/>
        <w:b/>
        <w:noProof/>
        <w:color w:val="83898E"/>
        <w:sz w:val="28"/>
        <w:szCs w:val="28"/>
        <w:lang w:val="en-GB"/>
      </w:rPr>
      <w:t>交易披露</w:t>
    </w:r>
  </w:p>
  <w:p w:rsidR="00095445" w:rsidRPr="00251CCF" w:rsidRDefault="00095445" w:rsidP="00095445">
    <w:pPr>
      <w:pStyle w:val="Header"/>
      <w:jc w:val="right"/>
      <w:rPr>
        <w:rFonts w:ascii="Arial" w:hAnsi="Arial" w:cs="Arial"/>
        <w:b/>
        <w:color w:val="83898E"/>
        <w:sz w:val="28"/>
        <w:szCs w:val="28"/>
      </w:rPr>
    </w:pPr>
  </w:p>
  <w:p w:rsidR="00095445" w:rsidRPr="00251CCF" w:rsidRDefault="00095445" w:rsidP="00095445">
    <w:pPr>
      <w:pStyle w:val="Header"/>
      <w:jc w:val="right"/>
      <w:rPr>
        <w:rFonts w:ascii="Arial" w:hAnsi="Arial" w:cs="Arial"/>
        <w:b/>
        <w:color w:val="83898E"/>
        <w:sz w:val="28"/>
        <w:szCs w:val="28"/>
      </w:rPr>
    </w:pPr>
  </w:p>
  <w:p w:rsidR="00095445" w:rsidRPr="00251CCF" w:rsidRDefault="00095445" w:rsidP="00095445">
    <w:pPr>
      <w:pStyle w:val="Header"/>
      <w:jc w:val="right"/>
      <w:rPr>
        <w:rFonts w:ascii="Arial" w:hAnsi="Arial" w:cs="Arial"/>
        <w:b/>
        <w:color w:val="83898E"/>
        <w:sz w:val="28"/>
        <w:szCs w:val="28"/>
      </w:rPr>
    </w:pPr>
  </w:p>
  <w:p w:rsidR="00095445" w:rsidRPr="00251CCF" w:rsidRDefault="00095445" w:rsidP="00095445">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47868"/>
    <w:multiLevelType w:val="hybridMultilevel"/>
    <w:tmpl w:val="0396007C"/>
    <w:lvl w:ilvl="0" w:tplc="C3D08850">
      <w:start w:val="1"/>
      <w:numFmt w:val="decimal"/>
      <w:lvlText w:val="%1."/>
      <w:lvlJc w:val="left"/>
      <w:pPr>
        <w:ind w:left="720" w:hanging="360"/>
      </w:pPr>
      <w:rPr>
        <w:rFonts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5741D0"/>
    <w:multiLevelType w:val="hybridMultilevel"/>
    <w:tmpl w:val="1F4AB082"/>
    <w:lvl w:ilvl="0" w:tplc="08090001">
      <w:start w:val="1"/>
      <w:numFmt w:val="bullet"/>
      <w:lvlText w:val=""/>
      <w:lvlJc w:val="left"/>
      <w:pPr>
        <w:ind w:left="479" w:hanging="360"/>
      </w:pPr>
      <w:rPr>
        <w:rFonts w:ascii="Symbol" w:hAnsi="Symbol" w:hint="default"/>
      </w:rPr>
    </w:lvl>
    <w:lvl w:ilvl="1" w:tplc="08090003">
      <w:start w:val="1"/>
      <w:numFmt w:val="bullet"/>
      <w:lvlText w:val="o"/>
      <w:lvlJc w:val="left"/>
      <w:pPr>
        <w:ind w:left="1199" w:hanging="360"/>
      </w:pPr>
      <w:rPr>
        <w:rFonts w:ascii="Courier New" w:hAnsi="Courier New" w:cs="Courier New" w:hint="default"/>
      </w:rPr>
    </w:lvl>
    <w:lvl w:ilvl="2" w:tplc="08090005">
      <w:start w:val="1"/>
      <w:numFmt w:val="bullet"/>
      <w:lvlText w:val=""/>
      <w:lvlJc w:val="left"/>
      <w:pPr>
        <w:ind w:left="1919" w:hanging="360"/>
      </w:pPr>
      <w:rPr>
        <w:rFonts w:ascii="Wingdings" w:hAnsi="Wingdings" w:hint="default"/>
      </w:rPr>
    </w:lvl>
    <w:lvl w:ilvl="3" w:tplc="08090001">
      <w:start w:val="1"/>
      <w:numFmt w:val="bullet"/>
      <w:lvlText w:val=""/>
      <w:lvlJc w:val="left"/>
      <w:pPr>
        <w:ind w:left="2639" w:hanging="360"/>
      </w:pPr>
      <w:rPr>
        <w:rFonts w:ascii="Symbol" w:hAnsi="Symbol" w:hint="default"/>
      </w:rPr>
    </w:lvl>
    <w:lvl w:ilvl="4" w:tplc="08090003">
      <w:start w:val="1"/>
      <w:numFmt w:val="bullet"/>
      <w:lvlText w:val="o"/>
      <w:lvlJc w:val="left"/>
      <w:pPr>
        <w:ind w:left="3359" w:hanging="360"/>
      </w:pPr>
      <w:rPr>
        <w:rFonts w:ascii="Courier New" w:hAnsi="Courier New" w:cs="Courier New" w:hint="default"/>
      </w:rPr>
    </w:lvl>
    <w:lvl w:ilvl="5" w:tplc="08090005">
      <w:start w:val="1"/>
      <w:numFmt w:val="bullet"/>
      <w:lvlText w:val=""/>
      <w:lvlJc w:val="left"/>
      <w:pPr>
        <w:ind w:left="4079" w:hanging="360"/>
      </w:pPr>
      <w:rPr>
        <w:rFonts w:ascii="Wingdings" w:hAnsi="Wingdings" w:hint="default"/>
      </w:rPr>
    </w:lvl>
    <w:lvl w:ilvl="6" w:tplc="08090001">
      <w:start w:val="1"/>
      <w:numFmt w:val="bullet"/>
      <w:lvlText w:val=""/>
      <w:lvlJc w:val="left"/>
      <w:pPr>
        <w:ind w:left="4799" w:hanging="360"/>
      </w:pPr>
      <w:rPr>
        <w:rFonts w:ascii="Symbol" w:hAnsi="Symbol" w:hint="default"/>
      </w:rPr>
    </w:lvl>
    <w:lvl w:ilvl="7" w:tplc="08090003">
      <w:start w:val="1"/>
      <w:numFmt w:val="bullet"/>
      <w:lvlText w:val="o"/>
      <w:lvlJc w:val="left"/>
      <w:pPr>
        <w:ind w:left="5519" w:hanging="360"/>
      </w:pPr>
      <w:rPr>
        <w:rFonts w:ascii="Courier New" w:hAnsi="Courier New" w:cs="Courier New" w:hint="default"/>
      </w:rPr>
    </w:lvl>
    <w:lvl w:ilvl="8" w:tplc="08090005">
      <w:start w:val="1"/>
      <w:numFmt w:val="bullet"/>
      <w:lvlText w:val=""/>
      <w:lvlJc w:val="left"/>
      <w:pPr>
        <w:ind w:left="623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5445"/>
    <w:rsid w:val="00000890"/>
    <w:rsid w:val="00002D23"/>
    <w:rsid w:val="00004E1E"/>
    <w:rsid w:val="00005022"/>
    <w:rsid w:val="000052C0"/>
    <w:rsid w:val="00012BFF"/>
    <w:rsid w:val="00013571"/>
    <w:rsid w:val="00014B31"/>
    <w:rsid w:val="000211D2"/>
    <w:rsid w:val="00022EF8"/>
    <w:rsid w:val="00023CE5"/>
    <w:rsid w:val="00042BCF"/>
    <w:rsid w:val="00043DF2"/>
    <w:rsid w:val="00044F12"/>
    <w:rsid w:val="0005359F"/>
    <w:rsid w:val="00057782"/>
    <w:rsid w:val="00057E35"/>
    <w:rsid w:val="000631C2"/>
    <w:rsid w:val="00070954"/>
    <w:rsid w:val="00072153"/>
    <w:rsid w:val="00074B36"/>
    <w:rsid w:val="0008754C"/>
    <w:rsid w:val="00087EA7"/>
    <w:rsid w:val="000905D3"/>
    <w:rsid w:val="00090A31"/>
    <w:rsid w:val="00094EA3"/>
    <w:rsid w:val="00095445"/>
    <w:rsid w:val="00097042"/>
    <w:rsid w:val="00097D84"/>
    <w:rsid w:val="000A04D3"/>
    <w:rsid w:val="000A230E"/>
    <w:rsid w:val="000A2D32"/>
    <w:rsid w:val="000A45BF"/>
    <w:rsid w:val="000B0181"/>
    <w:rsid w:val="000C3929"/>
    <w:rsid w:val="000C3C4A"/>
    <w:rsid w:val="000C52BA"/>
    <w:rsid w:val="000D0786"/>
    <w:rsid w:val="000D7135"/>
    <w:rsid w:val="00103085"/>
    <w:rsid w:val="00104FCE"/>
    <w:rsid w:val="0010781A"/>
    <w:rsid w:val="0012673C"/>
    <w:rsid w:val="001442E7"/>
    <w:rsid w:val="0015088D"/>
    <w:rsid w:val="001611BB"/>
    <w:rsid w:val="00163649"/>
    <w:rsid w:val="0018327A"/>
    <w:rsid w:val="00185217"/>
    <w:rsid w:val="00186BEB"/>
    <w:rsid w:val="00187B07"/>
    <w:rsid w:val="001958E8"/>
    <w:rsid w:val="001963C7"/>
    <w:rsid w:val="001A5436"/>
    <w:rsid w:val="001A66EC"/>
    <w:rsid w:val="001B306D"/>
    <w:rsid w:val="001B6F21"/>
    <w:rsid w:val="001C50A3"/>
    <w:rsid w:val="001C5818"/>
    <w:rsid w:val="001D3BC5"/>
    <w:rsid w:val="001D3F1B"/>
    <w:rsid w:val="001D79FE"/>
    <w:rsid w:val="001E2EEC"/>
    <w:rsid w:val="001F50BA"/>
    <w:rsid w:val="001F74E1"/>
    <w:rsid w:val="00214621"/>
    <w:rsid w:val="00220CF8"/>
    <w:rsid w:val="002212CA"/>
    <w:rsid w:val="002247E1"/>
    <w:rsid w:val="002419AC"/>
    <w:rsid w:val="00246212"/>
    <w:rsid w:val="00246CA4"/>
    <w:rsid w:val="00250EE7"/>
    <w:rsid w:val="00251CCF"/>
    <w:rsid w:val="002616A6"/>
    <w:rsid w:val="00266358"/>
    <w:rsid w:val="00276DA2"/>
    <w:rsid w:val="002818C4"/>
    <w:rsid w:val="00282EFF"/>
    <w:rsid w:val="00286D70"/>
    <w:rsid w:val="00293465"/>
    <w:rsid w:val="00295EA4"/>
    <w:rsid w:val="002A3F92"/>
    <w:rsid w:val="002B6F91"/>
    <w:rsid w:val="002C2988"/>
    <w:rsid w:val="002C3719"/>
    <w:rsid w:val="002D6B63"/>
    <w:rsid w:val="002E2672"/>
    <w:rsid w:val="002E4CB3"/>
    <w:rsid w:val="002E4E9B"/>
    <w:rsid w:val="002E6597"/>
    <w:rsid w:val="002F3713"/>
    <w:rsid w:val="002F4DA7"/>
    <w:rsid w:val="00307689"/>
    <w:rsid w:val="0031496D"/>
    <w:rsid w:val="00314E54"/>
    <w:rsid w:val="00322E4C"/>
    <w:rsid w:val="003251AA"/>
    <w:rsid w:val="003257DD"/>
    <w:rsid w:val="00330C07"/>
    <w:rsid w:val="00330ECD"/>
    <w:rsid w:val="00332BB0"/>
    <w:rsid w:val="00335251"/>
    <w:rsid w:val="003367F3"/>
    <w:rsid w:val="00347868"/>
    <w:rsid w:val="003644DB"/>
    <w:rsid w:val="00371B28"/>
    <w:rsid w:val="003745FF"/>
    <w:rsid w:val="00383041"/>
    <w:rsid w:val="00383B1C"/>
    <w:rsid w:val="003930AB"/>
    <w:rsid w:val="00397588"/>
    <w:rsid w:val="003A1FC8"/>
    <w:rsid w:val="003A54B5"/>
    <w:rsid w:val="003B5C55"/>
    <w:rsid w:val="003B6290"/>
    <w:rsid w:val="003C6F0F"/>
    <w:rsid w:val="003D34E2"/>
    <w:rsid w:val="003D4F6D"/>
    <w:rsid w:val="003D7392"/>
    <w:rsid w:val="003F39B1"/>
    <w:rsid w:val="003F59F2"/>
    <w:rsid w:val="004107B7"/>
    <w:rsid w:val="0041240A"/>
    <w:rsid w:val="00413ED3"/>
    <w:rsid w:val="004150CE"/>
    <w:rsid w:val="00416DB3"/>
    <w:rsid w:val="00421933"/>
    <w:rsid w:val="00424B0A"/>
    <w:rsid w:val="00427B6F"/>
    <w:rsid w:val="00431C5E"/>
    <w:rsid w:val="00434BCD"/>
    <w:rsid w:val="004364C3"/>
    <w:rsid w:val="004368CB"/>
    <w:rsid w:val="004426BC"/>
    <w:rsid w:val="00447101"/>
    <w:rsid w:val="004568DC"/>
    <w:rsid w:val="00460625"/>
    <w:rsid w:val="004621FF"/>
    <w:rsid w:val="00462BC6"/>
    <w:rsid w:val="0046736A"/>
    <w:rsid w:val="0047498B"/>
    <w:rsid w:val="004812B3"/>
    <w:rsid w:val="0048189C"/>
    <w:rsid w:val="0048191E"/>
    <w:rsid w:val="00482E83"/>
    <w:rsid w:val="00487069"/>
    <w:rsid w:val="00487940"/>
    <w:rsid w:val="0049234F"/>
    <w:rsid w:val="004A19FF"/>
    <w:rsid w:val="004A1A68"/>
    <w:rsid w:val="004A47D1"/>
    <w:rsid w:val="004B493C"/>
    <w:rsid w:val="004B7789"/>
    <w:rsid w:val="004C389B"/>
    <w:rsid w:val="004C4E7F"/>
    <w:rsid w:val="004C68A7"/>
    <w:rsid w:val="004F4F20"/>
    <w:rsid w:val="004F6CDB"/>
    <w:rsid w:val="0050002A"/>
    <w:rsid w:val="005036A3"/>
    <w:rsid w:val="00510E3F"/>
    <w:rsid w:val="00512543"/>
    <w:rsid w:val="00520F4B"/>
    <w:rsid w:val="00542F26"/>
    <w:rsid w:val="00543322"/>
    <w:rsid w:val="00547242"/>
    <w:rsid w:val="005530D7"/>
    <w:rsid w:val="00555FCB"/>
    <w:rsid w:val="00556AE7"/>
    <w:rsid w:val="0057381B"/>
    <w:rsid w:val="00580C68"/>
    <w:rsid w:val="0058416F"/>
    <w:rsid w:val="005921CE"/>
    <w:rsid w:val="005A1CE3"/>
    <w:rsid w:val="005A793D"/>
    <w:rsid w:val="005B076D"/>
    <w:rsid w:val="005B5752"/>
    <w:rsid w:val="005C4AAD"/>
    <w:rsid w:val="005C7BB9"/>
    <w:rsid w:val="005E3A8E"/>
    <w:rsid w:val="005F53A3"/>
    <w:rsid w:val="005F6A83"/>
    <w:rsid w:val="006014DA"/>
    <w:rsid w:val="00602260"/>
    <w:rsid w:val="00604C1F"/>
    <w:rsid w:val="00604C3D"/>
    <w:rsid w:val="006076BD"/>
    <w:rsid w:val="00607D42"/>
    <w:rsid w:val="006132BA"/>
    <w:rsid w:val="00614AC3"/>
    <w:rsid w:val="00616E4C"/>
    <w:rsid w:val="00621F0E"/>
    <w:rsid w:val="00623937"/>
    <w:rsid w:val="00625F92"/>
    <w:rsid w:val="006267CA"/>
    <w:rsid w:val="00633CB7"/>
    <w:rsid w:val="0064433D"/>
    <w:rsid w:val="00645666"/>
    <w:rsid w:val="0064768A"/>
    <w:rsid w:val="00654B1D"/>
    <w:rsid w:val="00657638"/>
    <w:rsid w:val="0066427E"/>
    <w:rsid w:val="00674DE0"/>
    <w:rsid w:val="00676894"/>
    <w:rsid w:val="00677E3D"/>
    <w:rsid w:val="0068320D"/>
    <w:rsid w:val="00685B23"/>
    <w:rsid w:val="00691FC8"/>
    <w:rsid w:val="00693D47"/>
    <w:rsid w:val="00694BC4"/>
    <w:rsid w:val="00694C32"/>
    <w:rsid w:val="006A5D2B"/>
    <w:rsid w:val="006A5F2B"/>
    <w:rsid w:val="006A6E89"/>
    <w:rsid w:val="006B6262"/>
    <w:rsid w:val="006C1F3C"/>
    <w:rsid w:val="006C51B9"/>
    <w:rsid w:val="006E1D08"/>
    <w:rsid w:val="006E369F"/>
    <w:rsid w:val="006E68CF"/>
    <w:rsid w:val="006F0EE4"/>
    <w:rsid w:val="006F1B42"/>
    <w:rsid w:val="00702FF1"/>
    <w:rsid w:val="00703212"/>
    <w:rsid w:val="00710EC4"/>
    <w:rsid w:val="007219EC"/>
    <w:rsid w:val="007256D3"/>
    <w:rsid w:val="007260E4"/>
    <w:rsid w:val="00733D29"/>
    <w:rsid w:val="007367AE"/>
    <w:rsid w:val="007458C5"/>
    <w:rsid w:val="0075357B"/>
    <w:rsid w:val="0075752A"/>
    <w:rsid w:val="00770D7D"/>
    <w:rsid w:val="00772AA3"/>
    <w:rsid w:val="00775142"/>
    <w:rsid w:val="00775391"/>
    <w:rsid w:val="0078627A"/>
    <w:rsid w:val="00787FC8"/>
    <w:rsid w:val="00793072"/>
    <w:rsid w:val="00793731"/>
    <w:rsid w:val="007A31C3"/>
    <w:rsid w:val="007B73E6"/>
    <w:rsid w:val="007C7CBB"/>
    <w:rsid w:val="007D15F5"/>
    <w:rsid w:val="007D677E"/>
    <w:rsid w:val="007D6C28"/>
    <w:rsid w:val="007E3AAD"/>
    <w:rsid w:val="007F76EB"/>
    <w:rsid w:val="008136E8"/>
    <w:rsid w:val="00821203"/>
    <w:rsid w:val="0082312D"/>
    <w:rsid w:val="00825A80"/>
    <w:rsid w:val="008328BA"/>
    <w:rsid w:val="00837502"/>
    <w:rsid w:val="00837C48"/>
    <w:rsid w:val="00841EA7"/>
    <w:rsid w:val="00842972"/>
    <w:rsid w:val="0085093B"/>
    <w:rsid w:val="0086053E"/>
    <w:rsid w:val="00863DD7"/>
    <w:rsid w:val="00865CEB"/>
    <w:rsid w:val="00866FB1"/>
    <w:rsid w:val="00870E0A"/>
    <w:rsid w:val="008771CF"/>
    <w:rsid w:val="008807FA"/>
    <w:rsid w:val="008906B3"/>
    <w:rsid w:val="008922BC"/>
    <w:rsid w:val="008941B0"/>
    <w:rsid w:val="008958C4"/>
    <w:rsid w:val="008A3857"/>
    <w:rsid w:val="008A5784"/>
    <w:rsid w:val="008B52DF"/>
    <w:rsid w:val="008C3518"/>
    <w:rsid w:val="008D04A2"/>
    <w:rsid w:val="008D2D80"/>
    <w:rsid w:val="008E0619"/>
    <w:rsid w:val="00901C7D"/>
    <w:rsid w:val="00901CDB"/>
    <w:rsid w:val="009047EF"/>
    <w:rsid w:val="00906206"/>
    <w:rsid w:val="00907E54"/>
    <w:rsid w:val="009146EA"/>
    <w:rsid w:val="00932E4E"/>
    <w:rsid w:val="0093760F"/>
    <w:rsid w:val="00943F29"/>
    <w:rsid w:val="00946032"/>
    <w:rsid w:val="00951F12"/>
    <w:rsid w:val="00952B85"/>
    <w:rsid w:val="0096246C"/>
    <w:rsid w:val="0096480A"/>
    <w:rsid w:val="00976E3A"/>
    <w:rsid w:val="00984406"/>
    <w:rsid w:val="00987A85"/>
    <w:rsid w:val="00991F36"/>
    <w:rsid w:val="009B2AD3"/>
    <w:rsid w:val="009B4BE4"/>
    <w:rsid w:val="009B788E"/>
    <w:rsid w:val="009C5249"/>
    <w:rsid w:val="009D6628"/>
    <w:rsid w:val="009E1FDD"/>
    <w:rsid w:val="009F2F64"/>
    <w:rsid w:val="009F6149"/>
    <w:rsid w:val="00A00467"/>
    <w:rsid w:val="00A063B7"/>
    <w:rsid w:val="00A07C16"/>
    <w:rsid w:val="00A115C6"/>
    <w:rsid w:val="00A11C5B"/>
    <w:rsid w:val="00A20955"/>
    <w:rsid w:val="00A225A9"/>
    <w:rsid w:val="00A230C8"/>
    <w:rsid w:val="00A30901"/>
    <w:rsid w:val="00A32C2A"/>
    <w:rsid w:val="00A3741C"/>
    <w:rsid w:val="00A400A2"/>
    <w:rsid w:val="00A474B1"/>
    <w:rsid w:val="00A4784E"/>
    <w:rsid w:val="00A47F63"/>
    <w:rsid w:val="00A512F9"/>
    <w:rsid w:val="00A558B1"/>
    <w:rsid w:val="00A579E3"/>
    <w:rsid w:val="00A61FD9"/>
    <w:rsid w:val="00A67FAD"/>
    <w:rsid w:val="00A80A94"/>
    <w:rsid w:val="00A80F44"/>
    <w:rsid w:val="00A9281C"/>
    <w:rsid w:val="00AB21F6"/>
    <w:rsid w:val="00AC1D5C"/>
    <w:rsid w:val="00AC2D6B"/>
    <w:rsid w:val="00AC3411"/>
    <w:rsid w:val="00AC65CB"/>
    <w:rsid w:val="00AC6EB6"/>
    <w:rsid w:val="00AC7B06"/>
    <w:rsid w:val="00AD0E76"/>
    <w:rsid w:val="00AD104C"/>
    <w:rsid w:val="00AE1A9C"/>
    <w:rsid w:val="00AE270B"/>
    <w:rsid w:val="00B00F6C"/>
    <w:rsid w:val="00B17143"/>
    <w:rsid w:val="00B26CE1"/>
    <w:rsid w:val="00B3607B"/>
    <w:rsid w:val="00B436B4"/>
    <w:rsid w:val="00B50965"/>
    <w:rsid w:val="00B741C1"/>
    <w:rsid w:val="00B87ABC"/>
    <w:rsid w:val="00B87B30"/>
    <w:rsid w:val="00B91B53"/>
    <w:rsid w:val="00BA0373"/>
    <w:rsid w:val="00BA25CC"/>
    <w:rsid w:val="00BA55EF"/>
    <w:rsid w:val="00BB007E"/>
    <w:rsid w:val="00BB19A0"/>
    <w:rsid w:val="00BD6CD7"/>
    <w:rsid w:val="00BE23C7"/>
    <w:rsid w:val="00BF3A8A"/>
    <w:rsid w:val="00BF46CA"/>
    <w:rsid w:val="00C010FF"/>
    <w:rsid w:val="00C07A6A"/>
    <w:rsid w:val="00C239DB"/>
    <w:rsid w:val="00C40F87"/>
    <w:rsid w:val="00C41961"/>
    <w:rsid w:val="00C53FE1"/>
    <w:rsid w:val="00C543E9"/>
    <w:rsid w:val="00C61C7D"/>
    <w:rsid w:val="00C94884"/>
    <w:rsid w:val="00C95E1D"/>
    <w:rsid w:val="00CA6DD4"/>
    <w:rsid w:val="00CB3FFD"/>
    <w:rsid w:val="00CC5967"/>
    <w:rsid w:val="00CD7A42"/>
    <w:rsid w:val="00CE119C"/>
    <w:rsid w:val="00CE5166"/>
    <w:rsid w:val="00CF0963"/>
    <w:rsid w:val="00CF4DC1"/>
    <w:rsid w:val="00CF63C2"/>
    <w:rsid w:val="00D204C6"/>
    <w:rsid w:val="00D21C11"/>
    <w:rsid w:val="00D27BA5"/>
    <w:rsid w:val="00D305C3"/>
    <w:rsid w:val="00D30FA6"/>
    <w:rsid w:val="00D32DAB"/>
    <w:rsid w:val="00D4435A"/>
    <w:rsid w:val="00D44DD4"/>
    <w:rsid w:val="00D471D9"/>
    <w:rsid w:val="00D509D1"/>
    <w:rsid w:val="00D56C92"/>
    <w:rsid w:val="00D57104"/>
    <w:rsid w:val="00D60707"/>
    <w:rsid w:val="00D659A0"/>
    <w:rsid w:val="00D71639"/>
    <w:rsid w:val="00D7399B"/>
    <w:rsid w:val="00D7549C"/>
    <w:rsid w:val="00D77802"/>
    <w:rsid w:val="00D832E5"/>
    <w:rsid w:val="00D97A88"/>
    <w:rsid w:val="00D97F0D"/>
    <w:rsid w:val="00DA00E7"/>
    <w:rsid w:val="00DA5459"/>
    <w:rsid w:val="00DA7C87"/>
    <w:rsid w:val="00DB5B87"/>
    <w:rsid w:val="00DB6F38"/>
    <w:rsid w:val="00DC55B5"/>
    <w:rsid w:val="00DC764F"/>
    <w:rsid w:val="00DE2517"/>
    <w:rsid w:val="00DE6854"/>
    <w:rsid w:val="00E024FB"/>
    <w:rsid w:val="00E12494"/>
    <w:rsid w:val="00E23714"/>
    <w:rsid w:val="00E3003C"/>
    <w:rsid w:val="00E3311D"/>
    <w:rsid w:val="00E406AC"/>
    <w:rsid w:val="00E41BEF"/>
    <w:rsid w:val="00E47DAA"/>
    <w:rsid w:val="00E54308"/>
    <w:rsid w:val="00E60F9B"/>
    <w:rsid w:val="00E632E8"/>
    <w:rsid w:val="00E74A0D"/>
    <w:rsid w:val="00E8106F"/>
    <w:rsid w:val="00E814F6"/>
    <w:rsid w:val="00E90E91"/>
    <w:rsid w:val="00EB336E"/>
    <w:rsid w:val="00EB3C5A"/>
    <w:rsid w:val="00EB438B"/>
    <w:rsid w:val="00EB7B24"/>
    <w:rsid w:val="00EC706A"/>
    <w:rsid w:val="00ED381E"/>
    <w:rsid w:val="00EE1CAD"/>
    <w:rsid w:val="00EE1CD5"/>
    <w:rsid w:val="00EE6A8A"/>
    <w:rsid w:val="00EE6DEB"/>
    <w:rsid w:val="00F06B8A"/>
    <w:rsid w:val="00F139CC"/>
    <w:rsid w:val="00F24F24"/>
    <w:rsid w:val="00F27018"/>
    <w:rsid w:val="00F408A2"/>
    <w:rsid w:val="00F417D5"/>
    <w:rsid w:val="00F4511E"/>
    <w:rsid w:val="00F46B04"/>
    <w:rsid w:val="00F50B50"/>
    <w:rsid w:val="00F516C5"/>
    <w:rsid w:val="00F52650"/>
    <w:rsid w:val="00F532D5"/>
    <w:rsid w:val="00F569C5"/>
    <w:rsid w:val="00F60411"/>
    <w:rsid w:val="00F64EB9"/>
    <w:rsid w:val="00F67391"/>
    <w:rsid w:val="00F74F74"/>
    <w:rsid w:val="00F80FE1"/>
    <w:rsid w:val="00F81B77"/>
    <w:rsid w:val="00F912C7"/>
    <w:rsid w:val="00F94A68"/>
    <w:rsid w:val="00F96DAF"/>
    <w:rsid w:val="00FB14B8"/>
    <w:rsid w:val="00FB22CD"/>
    <w:rsid w:val="00FC1952"/>
    <w:rsid w:val="00FD2B0E"/>
    <w:rsid w:val="00FD470E"/>
    <w:rsid w:val="00FF0B2E"/>
    <w:rsid w:val="00FF695C"/>
    <w:rsid w:val="00FF7618"/>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FB21605-82A5-4A79-9DD2-4B701DE4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445"/>
    <w:pPr>
      <w:widowControl w:val="0"/>
    </w:pPr>
    <w:rPr>
      <w:rFonts w:ascii="Arial" w:eastAsia="新細明體" w:hAnsi="Arial" w:cs="Arial"/>
      <w:color w:val="000000"/>
      <w:sz w:val="22"/>
    </w:rPr>
  </w:style>
  <w:style w:type="paragraph" w:styleId="Heading1">
    <w:name w:val="heading 1"/>
    <w:uiPriority w:val="9"/>
    <w:rsid w:val="00285B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uiPriority w:val="9"/>
    <w:unhideWhenUsed/>
    <w:rsid w:val="00285B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uiPriority w:val="9"/>
    <w:unhideWhenUsed/>
    <w:rsid w:val="00285B6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uiPriority w:val="9"/>
    <w:unhideWhenUsed/>
    <w:qFormat/>
    <w:rsid w:val="005F433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uiPriority w:val="9"/>
    <w:unhideWhenUsed/>
    <w:qFormat/>
    <w:rsid w:val="005F433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5445"/>
    <w:pPr>
      <w:tabs>
        <w:tab w:val="center" w:pos="4153"/>
        <w:tab w:val="right" w:pos="8306"/>
      </w:tabs>
    </w:pPr>
    <w:rPr>
      <w:rFonts w:asciiTheme="minorHAnsi" w:eastAsiaTheme="minorEastAsia" w:hAnsiTheme="minorHAnsi" w:cstheme="minorBidi"/>
      <w:color w:val="auto"/>
      <w:sz w:val="24"/>
    </w:rPr>
  </w:style>
  <w:style w:type="character" w:customStyle="1" w:styleId="HeaderChar">
    <w:name w:val="Header Char"/>
    <w:basedOn w:val="DefaultParagraphFont"/>
    <w:link w:val="Header"/>
    <w:uiPriority w:val="99"/>
    <w:semiHidden/>
    <w:rsid w:val="00095445"/>
  </w:style>
  <w:style w:type="paragraph" w:styleId="Footer">
    <w:name w:val="footer"/>
    <w:basedOn w:val="Normal"/>
    <w:link w:val="FooterChar"/>
    <w:uiPriority w:val="99"/>
    <w:semiHidden/>
    <w:unhideWhenUsed/>
    <w:rsid w:val="00095445"/>
    <w:pPr>
      <w:tabs>
        <w:tab w:val="center" w:pos="4153"/>
        <w:tab w:val="right" w:pos="8306"/>
      </w:tabs>
    </w:pPr>
    <w:rPr>
      <w:rFonts w:asciiTheme="minorHAnsi" w:eastAsiaTheme="minorEastAsia" w:hAnsiTheme="minorHAnsi" w:cstheme="minorBidi"/>
      <w:color w:val="auto"/>
      <w:sz w:val="24"/>
    </w:rPr>
  </w:style>
  <w:style w:type="character" w:customStyle="1" w:styleId="FooterChar">
    <w:name w:val="Footer Char"/>
    <w:basedOn w:val="DefaultParagraphFont"/>
    <w:link w:val="Footer"/>
    <w:uiPriority w:val="99"/>
    <w:semiHidden/>
    <w:rsid w:val="00095445"/>
  </w:style>
  <w:style w:type="table" w:customStyle="1" w:styleId="SFCDefaultTableStyle">
    <w:name w:val="SFC Default Table Style"/>
    <w:basedOn w:val="TableNormal"/>
    <w:uiPriority w:val="99"/>
    <w:qFormat/>
    <w:rsid w:val="00095445"/>
    <w:rPr>
      <w:rFonts w:ascii="Arial" w:eastAsia="新細明體" w:hAnsi="Arial" w:cs="Times New Roman"/>
      <w:kern w:val="0"/>
      <w:sz w:val="22"/>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themeColor="hyperlink"/>
      <w:u w:val="single"/>
    </w:rPr>
  </w:style>
  <w:style w:type="paragraph" w:styleId="ListParagraph">
    <w:name w:val="List Paragraph"/>
    <w:basedOn w:val="Normal"/>
    <w:uiPriority w:val="34"/>
    <w:qFormat/>
    <w:rsid w:val="00542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2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F6EEDF3B955C4693DF8E767040C586" ma:contentTypeVersion="" ma:contentTypeDescription="Create a new document." ma:contentTypeScope="" ma:versionID="25675aa13ef0fceaf3da8092a9f550ea">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6F973-B6E1-41C1-A0AF-A70C2EAA6802}">
  <ds:schemaRefs>
    <ds:schemaRef ds:uri="http://schemas.microsoft.com/sharepoint/v3/contenttype/forms"/>
  </ds:schemaRefs>
</ds:datastoreItem>
</file>

<file path=customXml/itemProps2.xml><?xml version="1.0" encoding="utf-8"?>
<ds:datastoreItem xmlns:ds="http://schemas.openxmlformats.org/officeDocument/2006/customXml" ds:itemID="{95032B55-C300-40C1-9B34-D7E485348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F932E1-B2AA-41D3-AC14-131FDC6A4539}">
  <ds:schemaRef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4B4962ED-8059-48EC-9639-0DFD772EB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Hankle YH WONG</dc:creator>
  <cp:lastModifiedBy>Vivien YN WONG</cp:lastModifiedBy>
  <cp:revision>2</cp:revision>
  <cp:lastPrinted>2017-12-04T07:20:00Z</cp:lastPrinted>
  <dcterms:created xsi:type="dcterms:W3CDTF">2017-12-04T08:17:00Z</dcterms:created>
  <dcterms:modified xsi:type="dcterms:W3CDTF">2017-12-04T08:17:00Z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0x01010014F6EEDF3B955C4693DF8E767040C586</vt:lpwstr>
  </property>
</Properties>
</file>