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06F" w:rsidRPr="00251CCF" w:rsidRDefault="00E8106F" w:rsidP="00095445">
      <w:pPr>
        <w:widowControl/>
        <w:tabs>
          <w:tab w:val="right" w:pos="6840"/>
        </w:tabs>
        <w:topLinePunct/>
        <w:adjustRightInd w:val="0"/>
        <w:rPr>
          <w:color w:val="auto"/>
        </w:rPr>
      </w:pPr>
      <w:bookmarkStart w:id="0" w:name="_GoBack"/>
      <w:bookmarkEnd w:id="0"/>
      <w:r w:rsidRPr="00251CCF">
        <w:rPr>
          <w:noProof/>
          <w:color w:val="auto"/>
        </w:rPr>
        <w:t>2017</w:t>
      </w:r>
      <w:r w:rsidRPr="00251CCF">
        <w:rPr>
          <w:noProof/>
          <w:color w:val="auto"/>
        </w:rPr>
        <w:t>年</w:t>
      </w:r>
      <w:r w:rsidRPr="00251CCF">
        <w:rPr>
          <w:noProof/>
          <w:color w:val="auto"/>
        </w:rPr>
        <w:t>12</w:t>
      </w:r>
      <w:r w:rsidRPr="00251CCF">
        <w:rPr>
          <w:noProof/>
          <w:color w:val="auto"/>
        </w:rPr>
        <w:t>月</w:t>
      </w:r>
      <w:r w:rsidRPr="00251CCF">
        <w:rPr>
          <w:noProof/>
          <w:color w:val="auto"/>
        </w:rPr>
        <w:t>1</w:t>
      </w:r>
      <w:r w:rsidRPr="00251CCF">
        <w:rPr>
          <w:noProof/>
          <w:color w:val="auto"/>
        </w:rPr>
        <w:t>日</w:t>
      </w:r>
    </w:p>
    <w:p w:rsidR="00095445" w:rsidRPr="00251CCF" w:rsidRDefault="00095445" w:rsidP="00095445">
      <w:pPr>
        <w:widowControl/>
        <w:topLinePunct/>
        <w:adjustRightInd w:val="0"/>
        <w:rPr>
          <w:color w:val="00B050"/>
          <w:kern w:val="0"/>
        </w:rPr>
      </w:pPr>
    </w:p>
    <w:p w:rsidR="00F41E43" w:rsidRDefault="00F41E43" w:rsidP="00F41E43">
      <w:pPr>
        <w:pStyle w:val="Default"/>
      </w:pPr>
    </w:p>
    <w:p w:rsidR="00095445" w:rsidRPr="00F41E43" w:rsidRDefault="00F41E43" w:rsidP="00F41E43">
      <w:pPr>
        <w:widowControl/>
        <w:topLinePunct/>
        <w:adjustRightInd w:val="0"/>
        <w:jc w:val="center"/>
        <w:rPr>
          <w:rFonts w:ascii="新細明體" w:hAnsi="新細明體"/>
          <w:b/>
          <w:bCs/>
          <w:kern w:val="0"/>
        </w:rPr>
      </w:pPr>
      <w:r w:rsidRPr="00F41E43">
        <w:rPr>
          <w:rFonts w:ascii="新細明體" w:hAnsi="新細明體" w:hint="eastAsia"/>
          <w:b/>
          <w:bCs/>
          <w:kern w:val="0"/>
        </w:rPr>
        <w:t>透過吸收合併進行私有化</w:t>
      </w:r>
    </w:p>
    <w:p w:rsidR="00095445" w:rsidRPr="00251CCF" w:rsidRDefault="00095445" w:rsidP="00095445">
      <w:pPr>
        <w:widowControl/>
        <w:topLinePunct/>
        <w:adjustRightInd w:val="0"/>
        <w:rPr>
          <w:kern w:val="0"/>
          <w:sz w:val="16"/>
          <w:szCs w:val="16"/>
        </w:rPr>
      </w:pPr>
    </w:p>
    <w:p w:rsidR="00555FCB" w:rsidRPr="00251CCF" w:rsidRDefault="007219EC" w:rsidP="00555FCB">
      <w:pPr>
        <w:widowControl/>
        <w:topLinePunct/>
        <w:adjustRightInd w:val="0"/>
        <w:jc w:val="center"/>
        <w:rPr>
          <w:rFonts w:eastAsia="SimSun"/>
          <w:b/>
          <w:noProof/>
          <w:color w:val="0000FF"/>
          <w:kern w:val="0"/>
        </w:rPr>
      </w:pPr>
      <w:r w:rsidRPr="004A775F">
        <w:rPr>
          <w:rFonts w:ascii="新細明體" w:hAnsi="新細明體" w:hint="eastAsia"/>
          <w:b/>
          <w:bCs/>
          <w:kern w:val="0"/>
        </w:rPr>
        <w:t>就</w:t>
      </w:r>
      <w:r w:rsidR="00CD7A42" w:rsidRPr="00251CCF">
        <w:rPr>
          <w:b/>
          <w:noProof/>
        </w:rPr>
        <w:t>中國建材股份有限公司</w:t>
      </w:r>
      <w:r w:rsidRPr="004A775F">
        <w:rPr>
          <w:rFonts w:ascii="新細明體" w:hAnsi="新細明體" w:hint="eastAsia"/>
          <w:b/>
          <w:bCs/>
          <w:kern w:val="0"/>
        </w:rPr>
        <w:t>的股份的交易披露</w:t>
      </w:r>
    </w:p>
    <w:p w:rsidR="00095445" w:rsidRPr="00251CCF" w:rsidRDefault="00095445" w:rsidP="00095445">
      <w:pPr>
        <w:widowControl/>
        <w:topLinePunct/>
        <w:adjustRightInd w:val="0"/>
        <w:rPr>
          <w:color w:val="FF0000"/>
          <w:kern w:val="0"/>
          <w:sz w:val="10"/>
          <w:szCs w:val="10"/>
        </w:rPr>
      </w:pPr>
    </w:p>
    <w:p w:rsidR="00095445" w:rsidRPr="00251CCF" w:rsidRDefault="006E68CF" w:rsidP="00095445">
      <w:pPr>
        <w:widowControl/>
        <w:topLinePunct/>
        <w:adjustRightInd w:val="0"/>
        <w:rPr>
          <w:rFonts w:eastAsia="SimSun"/>
          <w:color w:val="FF0000"/>
          <w:kern w:val="0"/>
        </w:rPr>
      </w:pPr>
      <w:bookmarkStart w:id="1" w:name="approvalletterforindividual"/>
      <w:bookmarkEnd w:id="1"/>
      <w:r w:rsidRPr="004A775F">
        <w:rPr>
          <w:rFonts w:ascii="新細明體" w:hAnsi="新細明體" w:hint="eastAsia"/>
          <w:kern w:val="0"/>
        </w:rPr>
        <w:t>執行人員接獲依據香港《公司收購及合併守則》</w:t>
      </w:r>
      <w:r w:rsidRPr="004A775F">
        <w:rPr>
          <w:rFonts w:hAnsi="新細明體"/>
          <w:kern w:val="0"/>
        </w:rPr>
        <w:t>規則</w:t>
      </w:r>
      <w:r w:rsidRPr="004A775F">
        <w:rPr>
          <w:kern w:val="0"/>
        </w:rPr>
        <w:t>22</w:t>
      </w:r>
      <w:r w:rsidRPr="004A775F">
        <w:rPr>
          <w:rFonts w:hAnsi="新細明體"/>
          <w:kern w:val="0"/>
        </w:rPr>
        <w:t>作出</w:t>
      </w:r>
      <w:r w:rsidRPr="004A775F">
        <w:rPr>
          <w:rFonts w:ascii="新細明體" w:hAnsi="新細明體" w:hint="eastAsia"/>
          <w:kern w:val="0"/>
        </w:rPr>
        <w:t>以下的證券交易的披露：</w:t>
      </w:r>
    </w:p>
    <w:p w:rsidR="00FD2B0E" w:rsidRPr="00251CCF" w:rsidRDefault="00FD2B0E" w:rsidP="00095445">
      <w:pPr>
        <w:widowControl/>
        <w:topLinePunct/>
        <w:adjustRightInd w:val="0"/>
        <w:rPr>
          <w:color w:val="5F497A"/>
          <w:kern w:val="0"/>
        </w:rPr>
      </w:pPr>
    </w:p>
    <w:tbl>
      <w:tblPr>
        <w:tblStyle w:val="SFCDefaultTableStyle"/>
        <w:tblW w:w="1540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51"/>
        <w:gridCol w:w="1556"/>
        <w:gridCol w:w="1233"/>
        <w:gridCol w:w="2592"/>
        <w:gridCol w:w="2592"/>
        <w:gridCol w:w="2592"/>
        <w:gridCol w:w="2592"/>
      </w:tblGrid>
      <w:tr w:rsidR="00F27018" w:rsidRPr="00251CCF" w:rsidTr="00FB14B8">
        <w:trPr>
          <w:tblHeader/>
        </w:trPr>
        <w:tc>
          <w:tcPr>
            <w:tcW w:w="730" w:type="pct"/>
          </w:tcPr>
          <w:p w:rsidR="00F27018" w:rsidRPr="00F532D5" w:rsidRDefault="006267CA">
            <w:pPr>
              <w:rPr>
                <w:rFonts w:ascii="新細明體" w:hAnsi="新細明體"/>
              </w:rPr>
            </w:pPr>
            <w:r w:rsidRPr="00F532D5">
              <w:rPr>
                <w:rFonts w:ascii="新細明體" w:hAnsi="新細明體" w:hint="eastAsia"/>
                <w:b/>
                <w:bCs/>
              </w:rPr>
              <w:t>交易方</w:t>
            </w:r>
          </w:p>
        </w:tc>
        <w:tc>
          <w:tcPr>
            <w:tcW w:w="505" w:type="pct"/>
          </w:tcPr>
          <w:p w:rsidR="00F27018" w:rsidRPr="00F532D5" w:rsidRDefault="006267CA" w:rsidP="00266358">
            <w:pPr>
              <w:widowControl/>
              <w:topLinePunct/>
              <w:adjustRightInd w:val="0"/>
              <w:rPr>
                <w:rFonts w:ascii="新細明體" w:hAnsi="新細明體"/>
              </w:rPr>
            </w:pPr>
            <w:r w:rsidRPr="00F532D5">
              <w:rPr>
                <w:rFonts w:ascii="新細明體" w:hAnsi="新細明體" w:hint="eastAsia"/>
                <w:b/>
                <w:bCs/>
              </w:rPr>
              <w:t>日期</w:t>
            </w:r>
          </w:p>
        </w:tc>
        <w:tc>
          <w:tcPr>
            <w:tcW w:w="400" w:type="pct"/>
          </w:tcPr>
          <w:p w:rsidR="00F27018" w:rsidRPr="00F532D5" w:rsidRDefault="006267CA">
            <w:pPr>
              <w:rPr>
                <w:rFonts w:ascii="新細明體" w:hAnsi="新細明體"/>
              </w:rPr>
            </w:pPr>
            <w:r w:rsidRPr="00F532D5">
              <w:rPr>
                <w:rFonts w:ascii="新細明體" w:hAnsi="新細明體" w:hint="eastAsia"/>
                <w:b/>
                <w:bCs/>
              </w:rPr>
              <w:t>買入／賣出</w:t>
            </w:r>
          </w:p>
        </w:tc>
        <w:tc>
          <w:tcPr>
            <w:tcW w:w="841" w:type="pct"/>
          </w:tcPr>
          <w:p w:rsidR="00F27018" w:rsidRPr="00F532D5" w:rsidRDefault="006267CA" w:rsidP="006267CA">
            <w:pPr>
              <w:rPr>
                <w:rFonts w:ascii="新細明體" w:hAnsi="新細明體"/>
              </w:rPr>
            </w:pPr>
            <w:r w:rsidRPr="00F532D5">
              <w:rPr>
                <w:rFonts w:ascii="新細明體" w:hAnsi="新細明體" w:hint="eastAsia"/>
                <w:b/>
                <w:bCs/>
              </w:rPr>
              <w:t>股份數目</w:t>
            </w:r>
          </w:p>
        </w:tc>
        <w:tc>
          <w:tcPr>
            <w:tcW w:w="841" w:type="pct"/>
          </w:tcPr>
          <w:p w:rsidR="00F27018" w:rsidRPr="00F532D5" w:rsidRDefault="006267CA" w:rsidP="006267CA">
            <w:pPr>
              <w:rPr>
                <w:rFonts w:ascii="新細明體" w:hAnsi="新細明體"/>
              </w:rPr>
            </w:pPr>
            <w:r w:rsidRPr="00F532D5">
              <w:rPr>
                <w:rFonts w:ascii="新細明體" w:hAnsi="新細明體" w:hint="eastAsia"/>
                <w:b/>
                <w:bCs/>
              </w:rPr>
              <w:t>每股價格</w:t>
            </w:r>
          </w:p>
        </w:tc>
        <w:tc>
          <w:tcPr>
            <w:tcW w:w="841" w:type="pct"/>
          </w:tcPr>
          <w:p w:rsidR="00F27018" w:rsidRPr="00F532D5" w:rsidRDefault="006267CA" w:rsidP="006267CA">
            <w:pPr>
              <w:rPr>
                <w:rFonts w:ascii="新細明體" w:hAnsi="新細明體"/>
                <w:lang w:eastAsia="zh-TW"/>
              </w:rPr>
            </w:pPr>
            <w:r w:rsidRPr="00F532D5">
              <w:rPr>
                <w:rFonts w:ascii="新細明體" w:hAnsi="新細明體" w:hint="eastAsia"/>
                <w:b/>
                <w:bCs/>
                <w:lang w:eastAsia="zh-TW"/>
              </w:rPr>
              <w:t>交易後數額（包括與其訂有協議或達成諒解的任何人士的證券）</w:t>
            </w:r>
          </w:p>
        </w:tc>
        <w:tc>
          <w:tcPr>
            <w:tcW w:w="841" w:type="pct"/>
          </w:tcPr>
          <w:p w:rsidR="00F27018" w:rsidRPr="00F532D5" w:rsidRDefault="006267CA" w:rsidP="006267CA">
            <w:pPr>
              <w:rPr>
                <w:rFonts w:ascii="新細明體" w:hAnsi="新細明體"/>
                <w:lang w:eastAsia="zh-TW"/>
              </w:rPr>
            </w:pPr>
            <w:r w:rsidRPr="00F532D5">
              <w:rPr>
                <w:rFonts w:ascii="新細明體" w:hAnsi="新細明體" w:hint="eastAsia"/>
                <w:b/>
                <w:bCs/>
                <w:lang w:eastAsia="zh-TW"/>
              </w:rPr>
              <w:t>佔該類別證券的百分比（包括與其訂有協議或達成諒解的任何人士的證券）%</w:t>
            </w:r>
          </w:p>
        </w:tc>
      </w:tr>
      <w:tr w:rsidR="00694BC4" w:rsidRPr="00251CCF" w:rsidTr="00FB14B8">
        <w:trPr>
          <w:tblHeader/>
        </w:trPr>
        <w:tc>
          <w:tcPr>
            <w:tcW w:w="730" w:type="pct"/>
          </w:tcPr>
          <w:p w:rsidR="00A115C6" w:rsidRPr="00251CCF" w:rsidRDefault="003A1FC8" w:rsidP="003A1FC8">
            <w:pPr>
              <w:widowControl/>
              <w:topLinePunct/>
              <w:adjustRightInd w:val="0"/>
            </w:pPr>
            <w:r w:rsidRPr="00251CCF">
              <w:rPr>
                <w:noProof/>
              </w:rPr>
              <w:t>BlackRock, Inc.</w:t>
            </w:r>
          </w:p>
        </w:tc>
        <w:tc>
          <w:tcPr>
            <w:tcW w:w="505" w:type="pct"/>
          </w:tcPr>
          <w:p w:rsidR="00A115C6" w:rsidRPr="00251CCF" w:rsidRDefault="002E2672" w:rsidP="00D471D9">
            <w:pPr>
              <w:widowControl/>
              <w:topLinePunct/>
              <w:adjustRightInd w:val="0"/>
              <w:rPr>
                <w:color w:val="5F497A"/>
              </w:rPr>
            </w:pPr>
            <w:r w:rsidRPr="00251CCF">
              <w:rPr>
                <w:noProof/>
              </w:rPr>
              <w:t>2017</w:t>
            </w:r>
            <w:r w:rsidRPr="00251CCF">
              <w:rPr>
                <w:noProof/>
              </w:rPr>
              <w:t>年</w:t>
            </w:r>
            <w:r w:rsidRPr="00251CCF">
              <w:rPr>
                <w:noProof/>
              </w:rPr>
              <w:t>11</w:t>
            </w:r>
            <w:r w:rsidRPr="00251CCF">
              <w:rPr>
                <w:noProof/>
              </w:rPr>
              <w:t>月</w:t>
            </w:r>
            <w:r w:rsidRPr="00251CCF">
              <w:rPr>
                <w:noProof/>
              </w:rPr>
              <w:t>30</w:t>
            </w:r>
            <w:r w:rsidRPr="00251CCF">
              <w:rPr>
                <w:noProof/>
              </w:rPr>
              <w:t>日</w:t>
            </w:r>
          </w:p>
        </w:tc>
        <w:tc>
          <w:tcPr>
            <w:tcW w:w="400" w:type="pct"/>
          </w:tcPr>
          <w:p w:rsidR="00A115C6" w:rsidRPr="00251CCF" w:rsidRDefault="00A115C6" w:rsidP="00D471D9">
            <w:pPr>
              <w:widowControl/>
              <w:topLinePunct/>
              <w:adjustRightInd w:val="0"/>
            </w:pPr>
            <w:r w:rsidRPr="00251CCF">
              <w:rPr>
                <w:noProof/>
              </w:rPr>
              <w:t>賣出</w:t>
            </w:r>
          </w:p>
        </w:tc>
        <w:tc>
          <w:tcPr>
            <w:tcW w:w="841" w:type="pct"/>
          </w:tcPr>
          <w:p w:rsidR="00A115C6" w:rsidRPr="00251CCF" w:rsidRDefault="002E2672" w:rsidP="00D471D9">
            <w:pPr>
              <w:widowControl/>
              <w:topLinePunct/>
              <w:adjustRightInd w:val="0"/>
              <w:jc w:val="right"/>
            </w:pPr>
            <w:r w:rsidRPr="00251CCF">
              <w:rPr>
                <w:noProof/>
              </w:rPr>
              <w:t>2,354,512</w:t>
            </w:r>
          </w:p>
        </w:tc>
        <w:tc>
          <w:tcPr>
            <w:tcW w:w="841" w:type="pct"/>
          </w:tcPr>
          <w:p w:rsidR="00A115C6" w:rsidRPr="00251CCF" w:rsidRDefault="002E2672" w:rsidP="00D471D9">
            <w:pPr>
              <w:widowControl/>
              <w:topLinePunct/>
              <w:adjustRightInd w:val="0"/>
              <w:jc w:val="right"/>
            </w:pPr>
            <w:r w:rsidRPr="00251CCF">
              <w:rPr>
                <w:noProof/>
              </w:rPr>
              <w:t>$7.1800</w:t>
            </w:r>
          </w:p>
        </w:tc>
        <w:tc>
          <w:tcPr>
            <w:tcW w:w="841" w:type="pct"/>
          </w:tcPr>
          <w:p w:rsidR="00A115C6" w:rsidRPr="00251CCF" w:rsidRDefault="002E2672" w:rsidP="00D471D9">
            <w:pPr>
              <w:widowControl/>
              <w:topLinePunct/>
              <w:adjustRightInd w:val="0"/>
              <w:jc w:val="right"/>
            </w:pPr>
            <w:r w:rsidRPr="00251CCF">
              <w:rPr>
                <w:noProof/>
              </w:rPr>
              <w:t>243,852,355</w:t>
            </w:r>
          </w:p>
        </w:tc>
        <w:tc>
          <w:tcPr>
            <w:tcW w:w="841" w:type="pct"/>
          </w:tcPr>
          <w:p w:rsidR="00A115C6" w:rsidRPr="00251CCF" w:rsidRDefault="002E2672" w:rsidP="00D471D9">
            <w:pPr>
              <w:widowControl/>
              <w:topLinePunct/>
              <w:adjustRightInd w:val="0"/>
              <w:jc w:val="right"/>
            </w:pPr>
            <w:r w:rsidRPr="00251CCF">
              <w:rPr>
                <w:noProof/>
              </w:rPr>
              <w:t>8.4695%</w:t>
            </w:r>
          </w:p>
        </w:tc>
      </w:tr>
    </w:tbl>
    <w:p w:rsidR="00FD2B0E" w:rsidRPr="00251CCF" w:rsidRDefault="00FD2B0E" w:rsidP="00FD2B0E">
      <w:pPr>
        <w:widowControl/>
        <w:topLinePunct/>
        <w:adjustRightInd w:val="0"/>
        <w:rPr>
          <w:color w:val="5F497A"/>
          <w:kern w:val="0"/>
        </w:rPr>
      </w:pPr>
    </w:p>
    <w:p w:rsidR="00F408A2" w:rsidRPr="00251CCF" w:rsidRDefault="00BE23C7" w:rsidP="00F408A2">
      <w:pPr>
        <w:widowControl/>
        <w:topLinePunct/>
        <w:adjustRightInd w:val="0"/>
        <w:rPr>
          <w:color w:val="auto"/>
        </w:rPr>
      </w:pPr>
      <w:r w:rsidRPr="00802A41">
        <w:rPr>
          <w:rFonts w:hint="eastAsia"/>
        </w:rPr>
        <w:t>完</w:t>
      </w:r>
    </w:p>
    <w:p w:rsidR="00677E3D" w:rsidRPr="00251CCF" w:rsidRDefault="00677E3D" w:rsidP="00BD6CD7">
      <w:pPr>
        <w:widowControl/>
        <w:topLinePunct/>
        <w:adjustRightInd w:val="0"/>
        <w:rPr>
          <w:color w:val="auto"/>
        </w:rPr>
      </w:pPr>
    </w:p>
    <w:p w:rsidR="00677E3D" w:rsidRPr="00251CCF" w:rsidRDefault="00677E3D" w:rsidP="00BD6CD7">
      <w:pPr>
        <w:widowControl/>
        <w:topLinePunct/>
        <w:adjustRightInd w:val="0"/>
        <w:rPr>
          <w:color w:val="auto"/>
        </w:rPr>
      </w:pPr>
    </w:p>
    <w:p w:rsidR="00462BC6" w:rsidRDefault="009B788E" w:rsidP="00BD6CD7">
      <w:pPr>
        <w:widowControl/>
        <w:topLinePunct/>
        <w:adjustRightInd w:val="0"/>
        <w:rPr>
          <w:rFonts w:hAnsi="新細明體"/>
        </w:rPr>
      </w:pPr>
      <w:r w:rsidRPr="000819AB">
        <w:rPr>
          <w:rFonts w:hAnsi="新細明體"/>
        </w:rPr>
        <w:t>註：</w:t>
      </w:r>
    </w:p>
    <w:p w:rsidR="000C52BA" w:rsidRDefault="00870E0A" w:rsidP="00BD6CD7">
      <w:pPr>
        <w:widowControl/>
        <w:topLinePunct/>
        <w:adjustRightInd w:val="0"/>
        <w:rPr>
          <w:rFonts w:hAnsi="新細明體"/>
          <w:bCs/>
          <w:noProof/>
          <w:kern w:val="0"/>
        </w:rPr>
      </w:pPr>
      <w:r w:rsidRPr="00251CCF">
        <w:rPr>
          <w:noProof/>
          <w:color w:val="auto"/>
        </w:rPr>
        <w:t>BlackRock, Inc.</w:t>
      </w:r>
      <w:r w:rsidR="00FC1952" w:rsidRPr="000819AB">
        <w:rPr>
          <w:rFonts w:hAnsi="新細明體"/>
          <w:bCs/>
          <w:noProof/>
          <w:kern w:val="0"/>
        </w:rPr>
        <w:t>憑藉持有</w:t>
      </w:r>
      <w:r w:rsidR="00B26CE1" w:rsidRPr="00251CCF">
        <w:rPr>
          <w:noProof/>
        </w:rPr>
        <w:t>要約人</w:t>
      </w:r>
      <w:r w:rsidR="00FC1952" w:rsidRPr="000819AB">
        <w:rPr>
          <w:rFonts w:hAnsi="新細明體"/>
          <w:bCs/>
          <w:noProof/>
          <w:kern w:val="0"/>
        </w:rPr>
        <w:t>的</w:t>
      </w:r>
      <w:r w:rsidR="00B26CE1" w:rsidRPr="00251CCF">
        <w:rPr>
          <w:noProof/>
        </w:rPr>
        <w:t>普通股</w:t>
      </w:r>
      <w:r w:rsidR="00FC1952" w:rsidRPr="000819AB">
        <w:rPr>
          <w:rFonts w:hAnsi="新細明體"/>
          <w:bCs/>
          <w:noProof/>
          <w:kern w:val="0"/>
        </w:rPr>
        <w:t>，所以根據</w:t>
      </w:r>
      <w:r w:rsidR="00070954">
        <w:rPr>
          <w:rFonts w:hAnsi="新細明體"/>
          <w:bCs/>
          <w:noProof/>
          <w:kern w:val="0"/>
        </w:rPr>
        <w:t>第</w:t>
      </w:r>
      <w:r w:rsidR="00070954">
        <w:rPr>
          <w:rFonts w:hAnsi="新細明體"/>
          <w:bCs/>
          <w:noProof/>
          <w:kern w:val="0"/>
        </w:rPr>
        <w:t>(6)</w:t>
      </w:r>
      <w:r w:rsidR="00070954">
        <w:rPr>
          <w:rFonts w:hAnsi="新細明體"/>
          <w:bCs/>
          <w:noProof/>
          <w:kern w:val="0"/>
        </w:rPr>
        <w:t>類</w:t>
      </w:r>
      <w:r w:rsidR="00FC1952">
        <w:rPr>
          <w:rFonts w:hint="eastAsia"/>
          <w:bCs/>
          <w:noProof/>
          <w:kern w:val="0"/>
        </w:rPr>
        <w:t>別</w:t>
      </w:r>
      <w:r w:rsidR="00FC1952" w:rsidRPr="000819AB">
        <w:rPr>
          <w:rFonts w:hAnsi="新細明體"/>
          <w:bCs/>
          <w:noProof/>
          <w:kern w:val="0"/>
        </w:rPr>
        <w:t>屬</w:t>
      </w:r>
      <w:r w:rsidR="005A1CE3" w:rsidRPr="00251CCF">
        <w:rPr>
          <w:noProof/>
        </w:rPr>
        <w:t>要約人</w:t>
      </w:r>
      <w:r w:rsidR="00FC1952" w:rsidRPr="000819AB">
        <w:rPr>
          <w:rFonts w:hAnsi="新細明體"/>
          <w:bCs/>
          <w:noProof/>
          <w:kern w:val="0"/>
        </w:rPr>
        <w:t>的聯繫人。</w:t>
      </w:r>
    </w:p>
    <w:p w:rsidR="00825A80" w:rsidRDefault="00286D70" w:rsidP="00BD6CD7">
      <w:pPr>
        <w:widowControl/>
        <w:topLinePunct/>
        <w:adjustRightInd w:val="0"/>
      </w:pPr>
      <w:r w:rsidRPr="000819AB">
        <w:rPr>
          <w:rFonts w:hAnsi="新細明體"/>
          <w:kern w:val="0"/>
        </w:rPr>
        <w:t>交易是為</w:t>
      </w:r>
      <w:r w:rsidR="00863DD7" w:rsidRPr="00251CCF">
        <w:rPr>
          <w:noProof/>
        </w:rPr>
        <w:t>全權委託投資客戶的帳戶</w:t>
      </w:r>
      <w:r w:rsidRPr="000819AB">
        <w:rPr>
          <w:rFonts w:hAnsi="新細明體"/>
          <w:kern w:val="0"/>
        </w:rPr>
        <w:t>進行的</w:t>
      </w:r>
      <w:r w:rsidRPr="000819AB">
        <w:rPr>
          <w:rFonts w:hAnsi="新細明體"/>
          <w:bCs/>
          <w:noProof/>
          <w:kern w:val="0"/>
        </w:rPr>
        <w:t>。</w:t>
      </w:r>
    </w:p>
    <w:p w:rsidR="00BD6CD7" w:rsidRPr="00251CCF" w:rsidRDefault="00D47267" w:rsidP="00D47267">
      <w:pPr>
        <w:widowControl/>
        <w:topLinePunct/>
        <w:adjustRightInd w:val="0"/>
        <w:rPr>
          <w:color w:val="auto"/>
        </w:rPr>
      </w:pPr>
      <w:r>
        <w:rPr>
          <w:rFonts w:hint="eastAsia"/>
        </w:rPr>
        <w:t>此交易是</w:t>
      </w:r>
      <w:r>
        <w:t>BlackRock, Inc.</w:t>
      </w:r>
      <w:r>
        <w:rPr>
          <w:rFonts w:hint="eastAsia"/>
        </w:rPr>
        <w:t>的抵押品接收，並代表抵押品的淨變動。</w:t>
      </w:r>
    </w:p>
    <w:sectPr w:rsidR="00BD6CD7" w:rsidRPr="00251CCF" w:rsidSect="00C543E9">
      <w:headerReference w:type="default" r:id="rId10"/>
      <w:pgSz w:w="16839" w:h="11907" w:orient="landscape" w:code="9"/>
      <w:pgMar w:top="720" w:right="720" w:bottom="720" w:left="720" w:header="864" w:footer="8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DB8" w:rsidRDefault="00F50DB8" w:rsidP="00095445">
      <w:r>
        <w:separator/>
      </w:r>
    </w:p>
  </w:endnote>
  <w:endnote w:type="continuationSeparator" w:id="0">
    <w:p w:rsidR="00F50DB8" w:rsidRDefault="00F50DB8" w:rsidP="00095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DB8" w:rsidRDefault="00F50DB8" w:rsidP="00095445">
      <w:r>
        <w:separator/>
      </w:r>
    </w:p>
  </w:footnote>
  <w:footnote w:type="continuationSeparator" w:id="0">
    <w:p w:rsidR="00F50DB8" w:rsidRDefault="00F50DB8" w:rsidP="000954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445" w:rsidRPr="00251CCF" w:rsidRDefault="00095445" w:rsidP="00095445">
    <w:pPr>
      <w:pStyle w:val="Header"/>
      <w:jc w:val="right"/>
      <w:rPr>
        <w:rFonts w:ascii="Arial" w:hAnsi="Arial" w:cs="Arial"/>
        <w:b/>
        <w:color w:val="83898E"/>
        <w:sz w:val="28"/>
        <w:szCs w:val="28"/>
      </w:rPr>
    </w:pPr>
    <w:r w:rsidRPr="00251CCF">
      <w:rPr>
        <w:rFonts w:ascii="Arial" w:hAnsi="Arial" w:cs="Arial"/>
        <w:b/>
        <w:noProof/>
        <w:color w:val="83898E"/>
        <w:sz w:val="28"/>
        <w:szCs w:val="28"/>
        <w:lang w:val="en-GB" w:eastAsia="zh-CN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-28575</wp:posOffset>
          </wp:positionH>
          <wp:positionV relativeFrom="paragraph">
            <wp:posOffset>3810</wp:posOffset>
          </wp:positionV>
          <wp:extent cx="3141980" cy="1005840"/>
          <wp:effectExtent l="19050" t="0" r="127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4198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219EC">
      <w:rPr>
        <w:rFonts w:ascii="Arial" w:hAnsi="Arial" w:cs="Arial" w:hint="eastAsia"/>
        <w:b/>
        <w:noProof/>
        <w:color w:val="83898E"/>
        <w:sz w:val="28"/>
        <w:szCs w:val="28"/>
        <w:lang w:val="en-GB"/>
      </w:rPr>
      <w:t>交易披露</w:t>
    </w:r>
  </w:p>
  <w:p w:rsidR="00095445" w:rsidRPr="00251CCF" w:rsidRDefault="00095445" w:rsidP="00095445">
    <w:pPr>
      <w:pStyle w:val="Header"/>
      <w:jc w:val="right"/>
      <w:rPr>
        <w:rFonts w:ascii="Arial" w:hAnsi="Arial" w:cs="Arial"/>
        <w:b/>
        <w:color w:val="83898E"/>
        <w:sz w:val="28"/>
        <w:szCs w:val="28"/>
      </w:rPr>
    </w:pPr>
  </w:p>
  <w:p w:rsidR="00095445" w:rsidRPr="00251CCF" w:rsidRDefault="00095445" w:rsidP="00095445">
    <w:pPr>
      <w:pStyle w:val="Header"/>
      <w:jc w:val="right"/>
      <w:rPr>
        <w:rFonts w:ascii="Arial" w:hAnsi="Arial" w:cs="Arial"/>
        <w:b/>
        <w:color w:val="83898E"/>
        <w:sz w:val="28"/>
        <w:szCs w:val="28"/>
      </w:rPr>
    </w:pPr>
  </w:p>
  <w:p w:rsidR="00095445" w:rsidRPr="00251CCF" w:rsidRDefault="00095445" w:rsidP="00095445">
    <w:pPr>
      <w:pStyle w:val="Header"/>
      <w:jc w:val="right"/>
      <w:rPr>
        <w:rFonts w:ascii="Arial" w:hAnsi="Arial" w:cs="Arial"/>
        <w:b/>
        <w:color w:val="83898E"/>
        <w:sz w:val="28"/>
        <w:szCs w:val="28"/>
      </w:rPr>
    </w:pPr>
  </w:p>
  <w:p w:rsidR="00095445" w:rsidRPr="00251CCF" w:rsidRDefault="00095445" w:rsidP="00095445">
    <w:pPr>
      <w:pStyle w:val="Header"/>
      <w:jc w:val="right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5445"/>
    <w:rsid w:val="00000890"/>
    <w:rsid w:val="00002D23"/>
    <w:rsid w:val="00004E1E"/>
    <w:rsid w:val="00005022"/>
    <w:rsid w:val="000052C0"/>
    <w:rsid w:val="00012BFF"/>
    <w:rsid w:val="00013571"/>
    <w:rsid w:val="00014B31"/>
    <w:rsid w:val="000211D2"/>
    <w:rsid w:val="00022EF8"/>
    <w:rsid w:val="00023CE5"/>
    <w:rsid w:val="00042BCF"/>
    <w:rsid w:val="00043DF2"/>
    <w:rsid w:val="00044F12"/>
    <w:rsid w:val="0005359F"/>
    <w:rsid w:val="00057782"/>
    <w:rsid w:val="00057E35"/>
    <w:rsid w:val="000631C2"/>
    <w:rsid w:val="00070954"/>
    <w:rsid w:val="00072153"/>
    <w:rsid w:val="00074B36"/>
    <w:rsid w:val="0008754C"/>
    <w:rsid w:val="00087EA7"/>
    <w:rsid w:val="000905D3"/>
    <w:rsid w:val="00090A31"/>
    <w:rsid w:val="00094EA3"/>
    <w:rsid w:val="00095445"/>
    <w:rsid w:val="00097042"/>
    <w:rsid w:val="00097D84"/>
    <w:rsid w:val="000A04D3"/>
    <w:rsid w:val="000A230E"/>
    <w:rsid w:val="000A2D32"/>
    <w:rsid w:val="000A45BF"/>
    <w:rsid w:val="000B0181"/>
    <w:rsid w:val="000C3929"/>
    <w:rsid w:val="000C3C4A"/>
    <w:rsid w:val="000C52BA"/>
    <w:rsid w:val="000D0786"/>
    <w:rsid w:val="000D7135"/>
    <w:rsid w:val="00103085"/>
    <w:rsid w:val="00104FCE"/>
    <w:rsid w:val="0010781A"/>
    <w:rsid w:val="0012673C"/>
    <w:rsid w:val="001442E7"/>
    <w:rsid w:val="0015088D"/>
    <w:rsid w:val="001611BB"/>
    <w:rsid w:val="00163649"/>
    <w:rsid w:val="0018327A"/>
    <w:rsid w:val="00185217"/>
    <w:rsid w:val="00186BEB"/>
    <w:rsid w:val="00187B07"/>
    <w:rsid w:val="001958E8"/>
    <w:rsid w:val="001963C7"/>
    <w:rsid w:val="001A5436"/>
    <w:rsid w:val="001A66EC"/>
    <w:rsid w:val="001B306D"/>
    <w:rsid w:val="001B6F21"/>
    <w:rsid w:val="001C50A3"/>
    <w:rsid w:val="001C5818"/>
    <w:rsid w:val="001D3BC5"/>
    <w:rsid w:val="001D3F1B"/>
    <w:rsid w:val="001D79FE"/>
    <w:rsid w:val="001E2EEC"/>
    <w:rsid w:val="001F74E1"/>
    <w:rsid w:val="00214621"/>
    <w:rsid w:val="00220CF8"/>
    <w:rsid w:val="002212CA"/>
    <w:rsid w:val="002247E1"/>
    <w:rsid w:val="002419AC"/>
    <w:rsid w:val="00246212"/>
    <w:rsid w:val="00246CA4"/>
    <w:rsid w:val="00250EE7"/>
    <w:rsid w:val="00251CCF"/>
    <w:rsid w:val="002616A6"/>
    <w:rsid w:val="00266358"/>
    <w:rsid w:val="00276DA2"/>
    <w:rsid w:val="002818C4"/>
    <w:rsid w:val="00282EFF"/>
    <w:rsid w:val="00286D70"/>
    <w:rsid w:val="00293465"/>
    <w:rsid w:val="00295EA4"/>
    <w:rsid w:val="002A3F92"/>
    <w:rsid w:val="002B6F91"/>
    <w:rsid w:val="002C2988"/>
    <w:rsid w:val="002C3719"/>
    <w:rsid w:val="002D6B63"/>
    <w:rsid w:val="002E2672"/>
    <w:rsid w:val="002E4CB3"/>
    <w:rsid w:val="002E4E9B"/>
    <w:rsid w:val="002E6597"/>
    <w:rsid w:val="002F3713"/>
    <w:rsid w:val="002F4DA7"/>
    <w:rsid w:val="00307689"/>
    <w:rsid w:val="0031496D"/>
    <w:rsid w:val="00314E54"/>
    <w:rsid w:val="00322E4C"/>
    <w:rsid w:val="003251AA"/>
    <w:rsid w:val="003257DD"/>
    <w:rsid w:val="00330C07"/>
    <w:rsid w:val="00330ECD"/>
    <w:rsid w:val="00332BB0"/>
    <w:rsid w:val="00335251"/>
    <w:rsid w:val="003367F3"/>
    <w:rsid w:val="00347868"/>
    <w:rsid w:val="003644DB"/>
    <w:rsid w:val="00371B28"/>
    <w:rsid w:val="003745FF"/>
    <w:rsid w:val="00383041"/>
    <w:rsid w:val="00383B1C"/>
    <w:rsid w:val="003930AB"/>
    <w:rsid w:val="00397588"/>
    <w:rsid w:val="003A1FC8"/>
    <w:rsid w:val="003A54B5"/>
    <w:rsid w:val="003B5C55"/>
    <w:rsid w:val="003B6290"/>
    <w:rsid w:val="003C6F0F"/>
    <w:rsid w:val="003D34E2"/>
    <w:rsid w:val="003D4F6D"/>
    <w:rsid w:val="003D7392"/>
    <w:rsid w:val="003F39B1"/>
    <w:rsid w:val="003F59F2"/>
    <w:rsid w:val="004107B7"/>
    <w:rsid w:val="0041240A"/>
    <w:rsid w:val="00413ED3"/>
    <w:rsid w:val="004150CE"/>
    <w:rsid w:val="00416DB3"/>
    <w:rsid w:val="00421933"/>
    <w:rsid w:val="00424B0A"/>
    <w:rsid w:val="00427B6F"/>
    <w:rsid w:val="00431C5E"/>
    <w:rsid w:val="00434BCD"/>
    <w:rsid w:val="004364C3"/>
    <w:rsid w:val="004368CB"/>
    <w:rsid w:val="004426BC"/>
    <w:rsid w:val="00447101"/>
    <w:rsid w:val="004568DC"/>
    <w:rsid w:val="00460625"/>
    <w:rsid w:val="004621FF"/>
    <w:rsid w:val="00462BC6"/>
    <w:rsid w:val="0046736A"/>
    <w:rsid w:val="0047498B"/>
    <w:rsid w:val="004812B3"/>
    <w:rsid w:val="0048189C"/>
    <w:rsid w:val="0048191E"/>
    <w:rsid w:val="00482E83"/>
    <w:rsid w:val="00487069"/>
    <w:rsid w:val="00487940"/>
    <w:rsid w:val="0049234F"/>
    <w:rsid w:val="004A19FF"/>
    <w:rsid w:val="004A1A68"/>
    <w:rsid w:val="004A47D1"/>
    <w:rsid w:val="004B493C"/>
    <w:rsid w:val="004B7789"/>
    <w:rsid w:val="004C389B"/>
    <w:rsid w:val="004C4E7F"/>
    <w:rsid w:val="004F4F20"/>
    <w:rsid w:val="004F6CDB"/>
    <w:rsid w:val="0050002A"/>
    <w:rsid w:val="005036A3"/>
    <w:rsid w:val="00510E3F"/>
    <w:rsid w:val="00512543"/>
    <w:rsid w:val="00520F4B"/>
    <w:rsid w:val="00543322"/>
    <w:rsid w:val="00547242"/>
    <w:rsid w:val="005530D7"/>
    <w:rsid w:val="00555FCB"/>
    <w:rsid w:val="00556AE7"/>
    <w:rsid w:val="0057381B"/>
    <w:rsid w:val="00580C68"/>
    <w:rsid w:val="0058416F"/>
    <w:rsid w:val="005921CE"/>
    <w:rsid w:val="005A1CE3"/>
    <w:rsid w:val="005A793D"/>
    <w:rsid w:val="005B076D"/>
    <w:rsid w:val="005B5752"/>
    <w:rsid w:val="005C4AAD"/>
    <w:rsid w:val="005C7BB9"/>
    <w:rsid w:val="005E3A8E"/>
    <w:rsid w:val="005F53A3"/>
    <w:rsid w:val="005F6A83"/>
    <w:rsid w:val="006014DA"/>
    <w:rsid w:val="00602260"/>
    <w:rsid w:val="00604C1F"/>
    <w:rsid w:val="00604C3D"/>
    <w:rsid w:val="006076BD"/>
    <w:rsid w:val="00607D42"/>
    <w:rsid w:val="006132BA"/>
    <w:rsid w:val="00614AC3"/>
    <w:rsid w:val="00616E4C"/>
    <w:rsid w:val="00621F0E"/>
    <w:rsid w:val="00623937"/>
    <w:rsid w:val="00625F92"/>
    <w:rsid w:val="006267CA"/>
    <w:rsid w:val="00633CB7"/>
    <w:rsid w:val="0064433D"/>
    <w:rsid w:val="00645666"/>
    <w:rsid w:val="0064768A"/>
    <w:rsid w:val="00654B1D"/>
    <w:rsid w:val="00657638"/>
    <w:rsid w:val="0066427E"/>
    <w:rsid w:val="00674DE0"/>
    <w:rsid w:val="00676894"/>
    <w:rsid w:val="00677E3D"/>
    <w:rsid w:val="0068320D"/>
    <w:rsid w:val="00685B23"/>
    <w:rsid w:val="00691FC8"/>
    <w:rsid w:val="00693D47"/>
    <w:rsid w:val="00694BC4"/>
    <w:rsid w:val="00694C32"/>
    <w:rsid w:val="006A5D2B"/>
    <w:rsid w:val="006A5F2B"/>
    <w:rsid w:val="006A6E89"/>
    <w:rsid w:val="006B6262"/>
    <w:rsid w:val="006C1F3C"/>
    <w:rsid w:val="006C51B9"/>
    <w:rsid w:val="006E1D08"/>
    <w:rsid w:val="006E369F"/>
    <w:rsid w:val="006E68CF"/>
    <w:rsid w:val="006F0EE4"/>
    <w:rsid w:val="006F1B42"/>
    <w:rsid w:val="00702FF1"/>
    <w:rsid w:val="00703212"/>
    <w:rsid w:val="00710EC4"/>
    <w:rsid w:val="007219EC"/>
    <w:rsid w:val="007256D3"/>
    <w:rsid w:val="007260E4"/>
    <w:rsid w:val="00733D29"/>
    <w:rsid w:val="007367AE"/>
    <w:rsid w:val="007458C5"/>
    <w:rsid w:val="0075357B"/>
    <w:rsid w:val="0075752A"/>
    <w:rsid w:val="00770D7D"/>
    <w:rsid w:val="00772AA3"/>
    <w:rsid w:val="00775142"/>
    <w:rsid w:val="00775391"/>
    <w:rsid w:val="0078627A"/>
    <w:rsid w:val="00787FC8"/>
    <w:rsid w:val="00793072"/>
    <w:rsid w:val="00793731"/>
    <w:rsid w:val="007A31C3"/>
    <w:rsid w:val="007B73E6"/>
    <w:rsid w:val="007C7CBB"/>
    <w:rsid w:val="007D15F5"/>
    <w:rsid w:val="007D677E"/>
    <w:rsid w:val="007D6C28"/>
    <w:rsid w:val="007E3AAD"/>
    <w:rsid w:val="007F76EB"/>
    <w:rsid w:val="008136E8"/>
    <w:rsid w:val="00821203"/>
    <w:rsid w:val="0082312D"/>
    <w:rsid w:val="00825A80"/>
    <w:rsid w:val="008328BA"/>
    <w:rsid w:val="00837502"/>
    <w:rsid w:val="00837C48"/>
    <w:rsid w:val="00841EA7"/>
    <w:rsid w:val="00842972"/>
    <w:rsid w:val="0085093B"/>
    <w:rsid w:val="0086053E"/>
    <w:rsid w:val="00863DD7"/>
    <w:rsid w:val="00865CEB"/>
    <w:rsid w:val="00866FB1"/>
    <w:rsid w:val="00870E0A"/>
    <w:rsid w:val="008771CF"/>
    <w:rsid w:val="008807FA"/>
    <w:rsid w:val="008906B3"/>
    <w:rsid w:val="008922BC"/>
    <w:rsid w:val="008941B0"/>
    <w:rsid w:val="008958C4"/>
    <w:rsid w:val="008A3857"/>
    <w:rsid w:val="008A5784"/>
    <w:rsid w:val="008B52DF"/>
    <w:rsid w:val="008C3518"/>
    <w:rsid w:val="008D04A2"/>
    <w:rsid w:val="008D2D80"/>
    <w:rsid w:val="008E0619"/>
    <w:rsid w:val="00901C7D"/>
    <w:rsid w:val="009047EF"/>
    <w:rsid w:val="00906206"/>
    <w:rsid w:val="00907E54"/>
    <w:rsid w:val="009146EA"/>
    <w:rsid w:val="00932E4E"/>
    <w:rsid w:val="0093760F"/>
    <w:rsid w:val="00943F29"/>
    <w:rsid w:val="00946032"/>
    <w:rsid w:val="00951F12"/>
    <w:rsid w:val="00952B85"/>
    <w:rsid w:val="0096246C"/>
    <w:rsid w:val="0096480A"/>
    <w:rsid w:val="00976E3A"/>
    <w:rsid w:val="00984406"/>
    <w:rsid w:val="00987A85"/>
    <w:rsid w:val="00991F36"/>
    <w:rsid w:val="009B2AD3"/>
    <w:rsid w:val="009B4BE4"/>
    <w:rsid w:val="009B788E"/>
    <w:rsid w:val="009C5249"/>
    <w:rsid w:val="009D6628"/>
    <w:rsid w:val="009E1FDD"/>
    <w:rsid w:val="009F2F64"/>
    <w:rsid w:val="009F6149"/>
    <w:rsid w:val="00A00467"/>
    <w:rsid w:val="00A063B7"/>
    <w:rsid w:val="00A07C16"/>
    <w:rsid w:val="00A115C6"/>
    <w:rsid w:val="00A11C5B"/>
    <w:rsid w:val="00A20955"/>
    <w:rsid w:val="00A225A9"/>
    <w:rsid w:val="00A30901"/>
    <w:rsid w:val="00A328D8"/>
    <w:rsid w:val="00A32C2A"/>
    <w:rsid w:val="00A3741C"/>
    <w:rsid w:val="00A400A2"/>
    <w:rsid w:val="00A474B1"/>
    <w:rsid w:val="00A4784E"/>
    <w:rsid w:val="00A47F63"/>
    <w:rsid w:val="00A512F9"/>
    <w:rsid w:val="00A558B1"/>
    <w:rsid w:val="00A579E3"/>
    <w:rsid w:val="00A61FD9"/>
    <w:rsid w:val="00A67FAD"/>
    <w:rsid w:val="00A80A94"/>
    <w:rsid w:val="00A80F44"/>
    <w:rsid w:val="00A9281C"/>
    <w:rsid w:val="00AB21F6"/>
    <w:rsid w:val="00AC1D5C"/>
    <w:rsid w:val="00AC3411"/>
    <w:rsid w:val="00AC65CB"/>
    <w:rsid w:val="00AC6EB6"/>
    <w:rsid w:val="00AC7B06"/>
    <w:rsid w:val="00AD0E76"/>
    <w:rsid w:val="00AD104C"/>
    <w:rsid w:val="00AE1A9C"/>
    <w:rsid w:val="00AE270B"/>
    <w:rsid w:val="00B00F6C"/>
    <w:rsid w:val="00B17143"/>
    <w:rsid w:val="00B26CE1"/>
    <w:rsid w:val="00B3607B"/>
    <w:rsid w:val="00B436B4"/>
    <w:rsid w:val="00B50965"/>
    <w:rsid w:val="00B741C1"/>
    <w:rsid w:val="00B87ABC"/>
    <w:rsid w:val="00B87B30"/>
    <w:rsid w:val="00B91B53"/>
    <w:rsid w:val="00BA0373"/>
    <w:rsid w:val="00BA25CC"/>
    <w:rsid w:val="00BA55EF"/>
    <w:rsid w:val="00BB007E"/>
    <w:rsid w:val="00BB19A0"/>
    <w:rsid w:val="00BD6CD7"/>
    <w:rsid w:val="00BE23C7"/>
    <w:rsid w:val="00BF3A8A"/>
    <w:rsid w:val="00BF46CA"/>
    <w:rsid w:val="00C010FF"/>
    <w:rsid w:val="00C07A6A"/>
    <w:rsid w:val="00C239DB"/>
    <w:rsid w:val="00C40F87"/>
    <w:rsid w:val="00C41961"/>
    <w:rsid w:val="00C53FE1"/>
    <w:rsid w:val="00C543E9"/>
    <w:rsid w:val="00C61C7D"/>
    <w:rsid w:val="00C94884"/>
    <w:rsid w:val="00C95E1D"/>
    <w:rsid w:val="00CA4396"/>
    <w:rsid w:val="00CA6DD4"/>
    <w:rsid w:val="00CB3FFD"/>
    <w:rsid w:val="00CC5967"/>
    <w:rsid w:val="00CD7A42"/>
    <w:rsid w:val="00CE119C"/>
    <w:rsid w:val="00CE5166"/>
    <w:rsid w:val="00CF0963"/>
    <w:rsid w:val="00CF4DC1"/>
    <w:rsid w:val="00CF63C2"/>
    <w:rsid w:val="00D204C6"/>
    <w:rsid w:val="00D21C11"/>
    <w:rsid w:val="00D27BA5"/>
    <w:rsid w:val="00D305C3"/>
    <w:rsid w:val="00D30FA6"/>
    <w:rsid w:val="00D32DAB"/>
    <w:rsid w:val="00D4435A"/>
    <w:rsid w:val="00D44DD4"/>
    <w:rsid w:val="00D471D9"/>
    <w:rsid w:val="00D47267"/>
    <w:rsid w:val="00D509D1"/>
    <w:rsid w:val="00D56C92"/>
    <w:rsid w:val="00D57104"/>
    <w:rsid w:val="00D60707"/>
    <w:rsid w:val="00D659A0"/>
    <w:rsid w:val="00D71639"/>
    <w:rsid w:val="00D7399B"/>
    <w:rsid w:val="00D7549C"/>
    <w:rsid w:val="00D77802"/>
    <w:rsid w:val="00D832E5"/>
    <w:rsid w:val="00D97A88"/>
    <w:rsid w:val="00D97F0D"/>
    <w:rsid w:val="00DA00E7"/>
    <w:rsid w:val="00DA5459"/>
    <w:rsid w:val="00DA7C87"/>
    <w:rsid w:val="00DB5B87"/>
    <w:rsid w:val="00DB6F38"/>
    <w:rsid w:val="00DC55B5"/>
    <w:rsid w:val="00DC764F"/>
    <w:rsid w:val="00DE2517"/>
    <w:rsid w:val="00DE6854"/>
    <w:rsid w:val="00E024FB"/>
    <w:rsid w:val="00E12494"/>
    <w:rsid w:val="00E23714"/>
    <w:rsid w:val="00E3003C"/>
    <w:rsid w:val="00E3311D"/>
    <w:rsid w:val="00E406AC"/>
    <w:rsid w:val="00E41BEF"/>
    <w:rsid w:val="00E47DAA"/>
    <w:rsid w:val="00E54308"/>
    <w:rsid w:val="00E60F9B"/>
    <w:rsid w:val="00E632E8"/>
    <w:rsid w:val="00E74A0D"/>
    <w:rsid w:val="00E8106F"/>
    <w:rsid w:val="00E814F6"/>
    <w:rsid w:val="00E90E91"/>
    <w:rsid w:val="00EB336E"/>
    <w:rsid w:val="00EB3C5A"/>
    <w:rsid w:val="00EB438B"/>
    <w:rsid w:val="00EB7B24"/>
    <w:rsid w:val="00EC706A"/>
    <w:rsid w:val="00ED381E"/>
    <w:rsid w:val="00EE1CAD"/>
    <w:rsid w:val="00EE1CD5"/>
    <w:rsid w:val="00EE6A8A"/>
    <w:rsid w:val="00EE6DEB"/>
    <w:rsid w:val="00F06B8A"/>
    <w:rsid w:val="00F139CC"/>
    <w:rsid w:val="00F24F24"/>
    <w:rsid w:val="00F27018"/>
    <w:rsid w:val="00F408A2"/>
    <w:rsid w:val="00F417D5"/>
    <w:rsid w:val="00F41E43"/>
    <w:rsid w:val="00F4511E"/>
    <w:rsid w:val="00F46B04"/>
    <w:rsid w:val="00F50B50"/>
    <w:rsid w:val="00F50DB8"/>
    <w:rsid w:val="00F516C5"/>
    <w:rsid w:val="00F52650"/>
    <w:rsid w:val="00F532D5"/>
    <w:rsid w:val="00F569C5"/>
    <w:rsid w:val="00F60411"/>
    <w:rsid w:val="00F64EB9"/>
    <w:rsid w:val="00F67391"/>
    <w:rsid w:val="00F74F74"/>
    <w:rsid w:val="00F80FE1"/>
    <w:rsid w:val="00F81B77"/>
    <w:rsid w:val="00F912C7"/>
    <w:rsid w:val="00F94A68"/>
    <w:rsid w:val="00F96DAF"/>
    <w:rsid w:val="00FB14B8"/>
    <w:rsid w:val="00FB22CD"/>
    <w:rsid w:val="00FC1952"/>
    <w:rsid w:val="00FD2B0E"/>
    <w:rsid w:val="00FD470E"/>
    <w:rsid w:val="00FF0B2E"/>
    <w:rsid w:val="00FF695C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2D117E1-6FE5-40EC-A734-207BFFE4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445"/>
    <w:pPr>
      <w:widowControl w:val="0"/>
    </w:pPr>
    <w:rPr>
      <w:rFonts w:ascii="Arial" w:eastAsia="新細明體" w:hAnsi="Arial" w:cs="Arial"/>
      <w:color w:val="000000"/>
      <w:sz w:val="22"/>
    </w:rPr>
  </w:style>
  <w:style w:type="paragraph" w:styleId="Heading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95445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color w:val="auto"/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95445"/>
  </w:style>
  <w:style w:type="paragraph" w:styleId="Footer">
    <w:name w:val="footer"/>
    <w:basedOn w:val="Normal"/>
    <w:link w:val="FooterChar"/>
    <w:uiPriority w:val="99"/>
    <w:semiHidden/>
    <w:unhideWhenUsed/>
    <w:rsid w:val="00095445"/>
    <w:pPr>
      <w:tabs>
        <w:tab w:val="center" w:pos="4153"/>
        <w:tab w:val="right" w:pos="8306"/>
      </w:tabs>
    </w:pPr>
    <w:rPr>
      <w:rFonts w:asciiTheme="minorHAnsi" w:eastAsiaTheme="minorEastAsia" w:hAnsiTheme="minorHAnsi" w:cstheme="minorBidi"/>
      <w:color w:val="auto"/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95445"/>
  </w:style>
  <w:style w:type="table" w:customStyle="1" w:styleId="SFCDefaultTableStyle">
    <w:name w:val="SFC Default Table Style"/>
    <w:basedOn w:val="TableNormal"/>
    <w:uiPriority w:val="99"/>
    <w:qFormat/>
    <w:rsid w:val="00095445"/>
    <w:rPr>
      <w:rFonts w:ascii="Arial" w:eastAsia="新細明體" w:hAnsi="Arial" w:cs="Times New Roman"/>
      <w:kern w:val="0"/>
      <w:sz w:val="22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rsid w:val="00D47267"/>
    <w:pPr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F6EEDF3B955C4693DF8E767040C586" ma:contentTypeVersion="" ma:contentTypeDescription="Create a new document." ma:contentTypeScope="" ma:versionID="25675aa13ef0fceaf3da8092a9f550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032B55-C300-40C1-9B34-D7E485348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F932E1-B2AA-41D3-AC14-131FDC6A4539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366F973-B6E1-41C1-A0AF-A70C2EAA68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FE1F2A-E8EC-49DB-8E8C-6F19297B3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Securities and Futures Commission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Hankle YH WONG</dc:creator>
  <cp:lastModifiedBy>Vivien YN WONG</cp:lastModifiedBy>
  <cp:revision>2</cp:revision>
  <dcterms:created xsi:type="dcterms:W3CDTF">2017-12-04T08:39:00Z</dcterms:created>
  <dcterms:modified xsi:type="dcterms:W3CDTF">2017-12-04T08:39:00Z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0x01010014F6EEDF3B955C4693DF8E767040C586</vt:lpwstr>
  </property>
</Properties>
</file>