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2019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3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251CCF">
        <w:rPr>
          <w:b/>
          <w:noProof/>
        </w:rPr>
        <w:t>透過協議安排進行私有化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合和實業有限公司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494"/>
        <w:gridCol w:w="1087"/>
        <w:gridCol w:w="4111"/>
        <w:gridCol w:w="1418"/>
        <w:gridCol w:w="1418"/>
        <w:gridCol w:w="1720"/>
        <w:gridCol w:w="1387"/>
        <w:gridCol w:w="1387"/>
      </w:tblGrid>
      <w:tr w:rsidR="00EE1CD5" w:rsidRPr="00251CCF" w:rsidTr="00781FED">
        <w:trPr>
          <w:tblHeader/>
        </w:trPr>
        <w:tc>
          <w:tcPr>
            <w:tcW w:w="450" w:type="pct"/>
          </w:tcPr>
          <w:p w:rsidR="00095445" w:rsidRPr="00F27018" w:rsidRDefault="00F64EB9" w:rsidP="003A1FC8">
            <w:pPr>
              <w:widowControl/>
              <w:topLinePunct/>
              <w:adjustRightInd w:val="0"/>
              <w:rPr>
                <w:rFonts w:ascii="新細明體" w:hAnsi="新細明體"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85" w:type="pct"/>
          </w:tcPr>
          <w:p w:rsidR="003251AA" w:rsidRPr="00F27018" w:rsidRDefault="003251AA" w:rsidP="00266358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353" w:type="pct"/>
          </w:tcPr>
          <w:p w:rsidR="00F532D5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</w:rPr>
            </w:pPr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1334" w:type="pct"/>
          </w:tcPr>
          <w:p w:rsidR="003251AA" w:rsidRPr="00F27018" w:rsidRDefault="00F532D5" w:rsidP="00F532D5">
            <w:pPr>
              <w:widowControl/>
              <w:topLinePunct/>
              <w:adjustRightInd w:val="0"/>
              <w:rPr>
                <w:rFonts w:ascii="新細明體" w:hAnsi="新細明體"/>
                <w:color w:val="5F497A"/>
                <w:lang w:eastAsia="zh-TW"/>
              </w:rPr>
            </w:pPr>
            <w:r w:rsidRPr="00F532D5">
              <w:rPr>
                <w:rFonts w:ascii="新細明體" w:hAnsi="新細明體" w:hint="eastAsia"/>
                <w:b/>
                <w:bCs/>
                <w:lang w:eastAsia="zh-TW"/>
              </w:rPr>
              <w:t>交易性質</w:t>
            </w:r>
          </w:p>
        </w:tc>
        <w:tc>
          <w:tcPr>
            <w:tcW w:w="46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買入／賣出</w:t>
            </w:r>
          </w:p>
        </w:tc>
        <w:tc>
          <w:tcPr>
            <w:tcW w:w="460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</w:rPr>
            </w:pPr>
            <w:r w:rsidRPr="00F27018">
              <w:rPr>
                <w:rFonts w:ascii="新細明體" w:hAnsi="新細明體" w:hint="eastAsia"/>
                <w:b/>
                <w:bCs/>
              </w:rPr>
              <w:t>涉及的股份總數</w:t>
            </w:r>
          </w:p>
        </w:tc>
        <w:tc>
          <w:tcPr>
            <w:tcW w:w="558" w:type="pct"/>
          </w:tcPr>
          <w:p w:rsidR="003251AA" w:rsidRPr="00F27018" w:rsidRDefault="003251AA" w:rsidP="00C660B8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已支付或已收取的最高價（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H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  <w:tc>
          <w:tcPr>
            <w:tcW w:w="450" w:type="pct"/>
          </w:tcPr>
          <w:p w:rsidR="003251AA" w:rsidRPr="00F27018" w:rsidRDefault="003251AA" w:rsidP="00482E83">
            <w:pPr>
              <w:widowControl/>
              <w:topLinePunct/>
              <w:adjustRightInd w:val="0"/>
              <w:rPr>
                <w:rFonts w:ascii="新細明體" w:hAnsi="新細明體"/>
                <w:b/>
                <w:bCs/>
                <w:lang w:eastAsia="zh-TW"/>
              </w:rPr>
            </w:pP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已支付或已收取的最低價（</w:t>
            </w:r>
            <w:r w:rsidRPr="00F27018">
              <w:rPr>
                <w:rFonts w:ascii="新細明體" w:hAnsi="新細明體"/>
                <w:b/>
                <w:bCs/>
                <w:lang w:eastAsia="zh-TW"/>
              </w:rPr>
              <w:t>L</w:t>
            </w:r>
            <w:r w:rsidRPr="00F27018">
              <w:rPr>
                <w:rFonts w:ascii="新細明體" w:hAnsi="新細明體" w:hint="eastAsia"/>
                <w:b/>
                <w:bCs/>
                <w:lang w:eastAsia="zh-TW"/>
              </w:rPr>
              <w:t>）</w:t>
            </w:r>
          </w:p>
        </w:tc>
      </w:tr>
      <w:tr w:rsidR="00EE1CD5" w:rsidRPr="00251CCF" w:rsidTr="00781FED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Citigroup Global Markets Limited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2019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3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353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34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產品的對沖活動</w:t>
            </w:r>
          </w:p>
        </w:tc>
        <w:tc>
          <w:tcPr>
            <w:tcW w:w="46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46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500</w:t>
            </w:r>
          </w:p>
        </w:tc>
        <w:tc>
          <w:tcPr>
            <w:tcW w:w="558" w:type="pct"/>
          </w:tcPr>
          <w:p w:rsidR="00095445" w:rsidRPr="00251CCF" w:rsidRDefault="00074B36" w:rsidP="00781FED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$18,000.00</w:t>
            </w:r>
          </w:p>
        </w:tc>
        <w:tc>
          <w:tcPr>
            <w:tcW w:w="450" w:type="pct"/>
          </w:tcPr>
          <w:p w:rsidR="00095445" w:rsidRPr="00251CCF" w:rsidRDefault="0075357B" w:rsidP="00781FED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$36.00</w:t>
            </w:r>
          </w:p>
        </w:tc>
        <w:tc>
          <w:tcPr>
            <w:tcW w:w="450" w:type="pct"/>
          </w:tcPr>
          <w:p w:rsidR="00095445" w:rsidRPr="00251CCF" w:rsidRDefault="0075357B" w:rsidP="00781FED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$36.00</w:t>
            </w:r>
          </w:p>
        </w:tc>
      </w:tr>
      <w:tr w:rsidR="00EE1CD5" w:rsidRPr="00251CCF" w:rsidTr="00781FED">
        <w:trPr>
          <w:tblHeader/>
        </w:trPr>
        <w:tc>
          <w:tcPr>
            <w:tcW w:w="450" w:type="pct"/>
          </w:tcPr>
          <w:p w:rsidR="00095445" w:rsidRPr="00251CCF" w:rsidRDefault="003A1FC8" w:rsidP="00C660B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Citigroup Global Markets Limited</w:t>
            </w:r>
          </w:p>
        </w:tc>
        <w:tc>
          <w:tcPr>
            <w:tcW w:w="485" w:type="pct"/>
          </w:tcPr>
          <w:p w:rsidR="00095445" w:rsidRPr="00251CCF" w:rsidRDefault="0064768A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2019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3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353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1334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rPr>
                <w:color w:val="5F497A"/>
                <w:lang w:eastAsia="zh-TW"/>
              </w:rPr>
            </w:pPr>
            <w:r w:rsidRPr="00251CCF">
              <w:rPr>
                <w:noProof/>
                <w:lang w:eastAsia="zh-TW"/>
              </w:rPr>
              <w:t>因全屬客戶主動發出且由客戶需求帶動的買賣盤所產生的</w:t>
            </w:r>
            <w:r w:rsidRPr="00251CCF">
              <w:rPr>
                <w:noProof/>
                <w:lang w:eastAsia="zh-TW"/>
              </w:rPr>
              <w:t>Delta 1</w:t>
            </w:r>
            <w:r w:rsidRPr="00251CCF">
              <w:rPr>
                <w:noProof/>
                <w:lang w:eastAsia="zh-TW"/>
              </w:rPr>
              <w:t>產品</w:t>
            </w:r>
          </w:p>
        </w:tc>
        <w:tc>
          <w:tcPr>
            <w:tcW w:w="460" w:type="pct"/>
          </w:tcPr>
          <w:p w:rsidR="00095445" w:rsidRPr="00251CCF" w:rsidRDefault="00074B36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賣出</w:t>
            </w:r>
          </w:p>
        </w:tc>
        <w:tc>
          <w:tcPr>
            <w:tcW w:w="460" w:type="pct"/>
          </w:tcPr>
          <w:p w:rsidR="00095445" w:rsidRPr="00251CCF" w:rsidRDefault="00074B3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100,000</w:t>
            </w:r>
          </w:p>
        </w:tc>
        <w:tc>
          <w:tcPr>
            <w:tcW w:w="558" w:type="pct"/>
          </w:tcPr>
          <w:p w:rsidR="00095445" w:rsidRPr="00251CCF" w:rsidRDefault="00781FED" w:rsidP="00781FED">
            <w:pPr>
              <w:widowControl/>
              <w:topLinePunct/>
              <w:adjustRightInd w:val="0"/>
              <w:jc w:val="right"/>
            </w:pPr>
            <w:r>
              <w:rPr>
                <w:noProof/>
              </w:rPr>
              <w:t>$3,601,850.00</w:t>
            </w:r>
          </w:p>
        </w:tc>
        <w:tc>
          <w:tcPr>
            <w:tcW w:w="450" w:type="pct"/>
          </w:tcPr>
          <w:p w:rsidR="00095445" w:rsidRPr="00251CCF" w:rsidRDefault="0075357B" w:rsidP="00781FED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$36.20</w:t>
            </w:r>
          </w:p>
        </w:tc>
        <w:tc>
          <w:tcPr>
            <w:tcW w:w="450" w:type="pct"/>
          </w:tcPr>
          <w:p w:rsidR="00095445" w:rsidRPr="00251CCF" w:rsidRDefault="0075357B" w:rsidP="00781FED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$36.00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bookmarkStart w:id="1" w:name="_GoBack"/>
      <w:bookmarkEnd w:id="1"/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lastRenderedPageBreak/>
        <w:t>Citigroup Global Markets Limited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Citigroup Global Markets Limited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Citigroup, Inc.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964028">
      <w:headerReference w:type="default" r:id="rId10"/>
      <w:headerReference w:type="first" r:id="rId11"/>
      <w:pgSz w:w="16839" w:h="11907" w:orient="landscape" w:code="9"/>
      <w:pgMar w:top="720" w:right="720" w:bottom="720" w:left="720" w:header="864" w:footer="86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522" w:rsidRDefault="00A32522" w:rsidP="00095445">
      <w:r>
        <w:separator/>
      </w:r>
    </w:p>
  </w:endnote>
  <w:endnote w:type="continuationSeparator" w:id="0">
    <w:p w:rsidR="00A32522" w:rsidRDefault="00A32522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522" w:rsidRDefault="00A32522" w:rsidP="00095445">
      <w:r>
        <w:separator/>
      </w:r>
    </w:p>
  </w:footnote>
  <w:footnote w:type="continuationSeparator" w:id="0">
    <w:p w:rsidR="00A32522" w:rsidRDefault="00A32522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964028" w:rsidP="009C5AB5">
    <w:pPr>
      <w:pStyle w:val="Header"/>
      <w:tabs>
        <w:tab w:val="left" w:pos="585"/>
        <w:tab w:val="right" w:pos="15399"/>
      </w:tabs>
      <w:rPr>
        <w:rFonts w:ascii="Arial" w:hAnsi="Arial" w:cs="Arial"/>
        <w:b/>
        <w:color w:val="83898E"/>
        <w:sz w:val="28"/>
        <w:szCs w:val="28"/>
      </w:rPr>
    </w:pPr>
    <w:r>
      <w:rPr>
        <w:noProof/>
        <w:sz w:val="16"/>
        <w:szCs w:val="16"/>
        <w:lang w:val="en-GB" w:eastAsia="zh-CN"/>
      </w:rPr>
      <w:drawing>
        <wp:anchor distT="0" distB="0" distL="114300" distR="114300" simplePos="0" relativeHeight="251662848" behindDoc="0" locked="0" layoutInCell="1" allowOverlap="1" wp14:anchorId="1087FCAB" wp14:editId="4BF4E36B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894938" cy="5384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Description: Kitman:Users:kitman:Desktop:SFC_Logo_Abbreviation_15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938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9C5AB5">
      <w:rPr>
        <w:rFonts w:ascii="Arial" w:hAnsi="Arial" w:cs="Arial"/>
        <w:b/>
        <w:noProof/>
        <w:color w:val="83898E"/>
        <w:sz w:val="28"/>
        <w:szCs w:val="28"/>
        <w:lang w:val="en-GB"/>
      </w:rPr>
      <w:tab/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Default="00095445" w:rsidP="00095445">
    <w:pPr>
      <w:pStyle w:val="Header"/>
      <w:jc w:val="right"/>
      <w:rPr>
        <w:rFonts w:ascii="Arial" w:hAnsi="Arial" w:cs="Arial"/>
      </w:rPr>
    </w:pPr>
  </w:p>
  <w:p w:rsidR="009C5AB5" w:rsidRPr="00251CCF" w:rsidRDefault="009C5AB5" w:rsidP="00095445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AB5" w:rsidRDefault="00964028" w:rsidP="00964028">
    <w:pPr>
      <w:pStyle w:val="Header"/>
      <w:jc w:val="right"/>
    </w:pPr>
    <w:r>
      <w:rPr>
        <w:noProof/>
        <w:lang w:val="en-GB" w:eastAsia="zh-CN"/>
      </w:rPr>
      <w:drawing>
        <wp:anchor distT="0" distB="0" distL="114300" distR="114300" simplePos="0" relativeHeight="251660800" behindDoc="0" locked="0" layoutInCell="1" allowOverlap="1" wp14:anchorId="5B4BFAB3" wp14:editId="0CDD8D2E">
          <wp:simplePos x="0" y="0"/>
          <wp:positionH relativeFrom="column">
            <wp:posOffset>0</wp:posOffset>
          </wp:positionH>
          <wp:positionV relativeFrom="page">
            <wp:posOffset>548005</wp:posOffset>
          </wp:positionV>
          <wp:extent cx="2195830" cy="721360"/>
          <wp:effectExtent l="0" t="0" r="0" b="0"/>
          <wp:wrapThrough wrapText="bothSides">
            <wp:wrapPolygon edited="0">
              <wp:start x="0" y="0"/>
              <wp:lineTo x="0" y="7606"/>
              <wp:lineTo x="999" y="12169"/>
              <wp:lineTo x="999" y="15972"/>
              <wp:lineTo x="4497" y="20535"/>
              <wp:lineTo x="7246" y="20535"/>
              <wp:lineTo x="21238" y="20535"/>
              <wp:lineTo x="21238" y="13690"/>
              <wp:lineTo x="18239" y="12169"/>
              <wp:lineTo x="18489" y="7606"/>
              <wp:lineTo x="7496" y="0"/>
              <wp:lineTo x="5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Kitman:Users:kitman:Desktop:SFC_Logo_FullName_20mm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58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964028" w:rsidRDefault="00964028">
    <w:pPr>
      <w:pStyle w:val="Header"/>
    </w:pPr>
  </w:p>
  <w:p w:rsidR="00964028" w:rsidRDefault="00964028">
    <w:pPr>
      <w:pStyle w:val="Header"/>
    </w:pPr>
  </w:p>
  <w:p w:rsidR="00964028" w:rsidRDefault="00964028">
    <w:pPr>
      <w:pStyle w:val="Header"/>
    </w:pPr>
  </w:p>
  <w:p w:rsidR="00964028" w:rsidRDefault="00964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62E58"/>
    <w:rsid w:val="00770D7D"/>
    <w:rsid w:val="00772AA3"/>
    <w:rsid w:val="00775142"/>
    <w:rsid w:val="00775391"/>
    <w:rsid w:val="00781FED"/>
    <w:rsid w:val="0078627A"/>
    <w:rsid w:val="00787A82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028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C5AB5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522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0A5A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CFB6325-0592-4DB9-8D9A-3C411C70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95445"/>
  </w:style>
  <w:style w:type="paragraph" w:styleId="Footer">
    <w:name w:val="footer"/>
    <w:basedOn w:val="Normal"/>
    <w:link w:val="FooterChar"/>
    <w:uiPriority w:val="99"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C9A61D-81ED-41DD-BF35-3FB62B2E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2019-03-04T06:58:00Z</dcterms:created>
  <dcterms:modified xsi:type="dcterms:W3CDTF">2019-03-04T06:58:00Z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