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2019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3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8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透過協議安排進行私有化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合和實業有限公司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494"/>
        <w:gridCol w:w="1439"/>
        <w:gridCol w:w="3760"/>
        <w:gridCol w:w="1418"/>
        <w:gridCol w:w="1134"/>
        <w:gridCol w:w="2003"/>
        <w:gridCol w:w="1387"/>
        <w:gridCol w:w="1387"/>
      </w:tblGrid>
      <w:tr w:rsidR="00EE1CD5" w:rsidRPr="00251CCF" w:rsidTr="006622B3">
        <w:trPr>
          <w:tblHeader/>
        </w:trPr>
        <w:tc>
          <w:tcPr>
            <w:tcW w:w="450" w:type="pct"/>
          </w:tcPr>
          <w:p w:rsidR="00095445" w:rsidRPr="00F27018" w:rsidRDefault="00F64EB9" w:rsidP="003A1FC8">
            <w:pPr>
              <w:widowControl/>
              <w:topLinePunct/>
              <w:adjustRightInd w:val="0"/>
              <w:rPr>
                <w:rFonts w:ascii="新細明體" w:hAnsi="新細明體"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85" w:type="pct"/>
          </w:tcPr>
          <w:p w:rsidR="003251AA" w:rsidRPr="00F27018" w:rsidRDefault="003251AA" w:rsidP="00266358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67" w:type="pct"/>
          </w:tcPr>
          <w:p w:rsidR="00F532D5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1220" w:type="pct"/>
          </w:tcPr>
          <w:p w:rsidR="003251AA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交易性質</w:t>
            </w:r>
          </w:p>
        </w:tc>
        <w:tc>
          <w:tcPr>
            <w:tcW w:w="46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368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涉及的股份總數</w:t>
            </w:r>
          </w:p>
        </w:tc>
        <w:tc>
          <w:tcPr>
            <w:tcW w:w="65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已支付或已收取的最高價（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H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已支付或已收取的最低價（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L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</w:tr>
      <w:tr w:rsidR="00EE1CD5" w:rsidRPr="00251CCF" w:rsidTr="006622B3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Citigroup Global Markets Limited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2019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3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7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122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  <w:lang w:eastAsia="zh-TW"/>
              </w:rPr>
            </w:pPr>
            <w:r w:rsidRPr="00251CCF">
              <w:rPr>
                <w:noProof/>
                <w:lang w:eastAsia="zh-TW"/>
              </w:rPr>
              <w:t>因全屬客戶主動發出且由客戶需求帶動的買賣盤所產生的</w:t>
            </w:r>
            <w:r w:rsidRPr="00251CCF">
              <w:rPr>
                <w:noProof/>
                <w:lang w:eastAsia="zh-TW"/>
              </w:rPr>
              <w:t>Delta 1</w:t>
            </w:r>
            <w:r w:rsidRPr="00251CCF">
              <w:rPr>
                <w:noProof/>
                <w:lang w:eastAsia="zh-TW"/>
              </w:rPr>
              <w:t>產品</w:t>
            </w:r>
          </w:p>
        </w:tc>
        <w:tc>
          <w:tcPr>
            <w:tcW w:w="46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36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50,000</w:t>
            </w:r>
          </w:p>
        </w:tc>
        <w:tc>
          <w:tcPr>
            <w:tcW w:w="650" w:type="pct"/>
          </w:tcPr>
          <w:p w:rsidR="00095445" w:rsidRPr="00251CCF" w:rsidRDefault="00074B36" w:rsidP="006622B3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$1,820,625.00</w:t>
            </w:r>
          </w:p>
        </w:tc>
        <w:tc>
          <w:tcPr>
            <w:tcW w:w="450" w:type="pct"/>
          </w:tcPr>
          <w:p w:rsidR="00095445" w:rsidRPr="00251CCF" w:rsidRDefault="0075357B" w:rsidP="006622B3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$36.55</w:t>
            </w:r>
          </w:p>
        </w:tc>
        <w:tc>
          <w:tcPr>
            <w:tcW w:w="450" w:type="pct"/>
          </w:tcPr>
          <w:p w:rsidR="00095445" w:rsidRPr="00251CCF" w:rsidRDefault="0075357B" w:rsidP="006622B3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$36.20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  <w:bookmarkStart w:id="1" w:name="_GoBack"/>
      <w:bookmarkEnd w:id="1"/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Citigroup Global Markets Limited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與要約人有關連的獲豁免自營買賣商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Citigroup Global Markets Limited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Citigroup, Inc.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964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864" w:footer="8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5A" w:rsidRDefault="00C50A5A" w:rsidP="00095445">
      <w:r>
        <w:separator/>
      </w:r>
    </w:p>
  </w:endnote>
  <w:endnote w:type="continuationSeparator" w:id="0">
    <w:p w:rsidR="00C50A5A" w:rsidRDefault="00C50A5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C5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C5A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C5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5A" w:rsidRDefault="00C50A5A" w:rsidP="00095445">
      <w:r>
        <w:separator/>
      </w:r>
    </w:p>
  </w:footnote>
  <w:footnote w:type="continuationSeparator" w:id="0">
    <w:p w:rsidR="00C50A5A" w:rsidRDefault="00C50A5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C5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964028" w:rsidP="009C5AB5">
    <w:pPr>
      <w:pStyle w:val="Header"/>
      <w:tabs>
        <w:tab w:val="left" w:pos="58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  <w:r>
      <w:rPr>
        <w:noProof/>
        <w:sz w:val="16"/>
        <w:szCs w:val="16"/>
        <w:lang w:val="en-GB" w:eastAsia="zh-CN"/>
      </w:rPr>
      <w:drawing>
        <wp:anchor distT="0" distB="0" distL="114300" distR="114300" simplePos="0" relativeHeight="251662848" behindDoc="0" locked="0" layoutInCell="1" allowOverlap="1" wp14:anchorId="1087FCAB" wp14:editId="4BF4E36B">
          <wp:simplePos x="0" y="0"/>
          <wp:positionH relativeFrom="column">
            <wp:posOffset>0</wp:posOffset>
          </wp:positionH>
          <wp:positionV relativeFrom="page">
            <wp:posOffset>548005</wp:posOffset>
          </wp:positionV>
          <wp:extent cx="894938" cy="538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Kitman:Users:kitman:Desktop:SFC_Logo_Abbreviation_15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938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Default="00095445" w:rsidP="00095445">
    <w:pPr>
      <w:pStyle w:val="Header"/>
      <w:jc w:val="right"/>
      <w:rPr>
        <w:rFonts w:ascii="Arial" w:hAnsi="Arial" w:cs="Arial"/>
      </w:rPr>
    </w:pPr>
  </w:p>
  <w:p w:rsidR="009C5AB5" w:rsidRPr="00251CCF" w:rsidRDefault="009C5AB5" w:rsidP="00095445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64028" w:rsidP="00964028">
    <w:pPr>
      <w:pStyle w:val="Header"/>
      <w:jc w:val="right"/>
    </w:pPr>
    <w:r>
      <w:rPr>
        <w:noProof/>
        <w:lang w:val="en-GB" w:eastAsia="zh-CN"/>
      </w:rPr>
      <w:drawing>
        <wp:anchor distT="0" distB="0" distL="114300" distR="114300" simplePos="0" relativeHeight="251660800" behindDoc="0" locked="0" layoutInCell="1" allowOverlap="1" wp14:anchorId="5B4BFAB3" wp14:editId="0CDD8D2E">
          <wp:simplePos x="0" y="0"/>
          <wp:positionH relativeFrom="column">
            <wp:posOffset>0</wp:posOffset>
          </wp:positionH>
          <wp:positionV relativeFrom="page">
            <wp:posOffset>548005</wp:posOffset>
          </wp:positionV>
          <wp:extent cx="2195830" cy="721360"/>
          <wp:effectExtent l="0" t="0" r="0" b="0"/>
          <wp:wrapThrough wrapText="bothSides">
            <wp:wrapPolygon edited="0">
              <wp:start x="0" y="0"/>
              <wp:lineTo x="0" y="7606"/>
              <wp:lineTo x="999" y="12169"/>
              <wp:lineTo x="999" y="15972"/>
              <wp:lineTo x="4497" y="20535"/>
              <wp:lineTo x="7246" y="20535"/>
              <wp:lineTo x="21238" y="20535"/>
              <wp:lineTo x="21238" y="13690"/>
              <wp:lineTo x="18239" y="12169"/>
              <wp:lineTo x="18489" y="7606"/>
              <wp:lineTo x="7496" y="0"/>
              <wp:lineTo x="5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Kitman:Users:kitman:Desktop:SFC_Logo_FullName_20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964028" w:rsidRDefault="00964028">
    <w:pPr>
      <w:pStyle w:val="Header"/>
    </w:pPr>
  </w:p>
  <w:p w:rsidR="00964028" w:rsidRDefault="00964028">
    <w:pPr>
      <w:pStyle w:val="Header"/>
    </w:pPr>
  </w:p>
  <w:p w:rsidR="00964028" w:rsidRDefault="00964028">
    <w:pPr>
      <w:pStyle w:val="Header"/>
    </w:pPr>
  </w:p>
  <w:p w:rsidR="00964028" w:rsidRDefault="00964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22B3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62E58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028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C5AB5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0A5A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FB6325-0592-4DB9-8D9A-3C411C7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95445"/>
  </w:style>
  <w:style w:type="paragraph" w:styleId="Footer">
    <w:name w:val="footer"/>
    <w:basedOn w:val="Normal"/>
    <w:link w:val="Foot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794F0-3629-4EA3-87A9-9B15A534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2019-03-08T03:00:00Z</dcterms:created>
  <dcterms:modified xsi:type="dcterms:W3CDTF">2019-03-08T03:00:00Z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